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7ED74" w14:textId="77777777" w:rsidR="00F640B1" w:rsidRDefault="00F640B1" w:rsidP="00F640B1">
      <w:pPr>
        <w:pStyle w:val="H2Orange"/>
      </w:pPr>
      <w:r>
        <w:t xml:space="preserve">WORK PLANS </w:t>
      </w:r>
    </w:p>
    <w:p w14:paraId="41DEAEA5" w14:textId="52B25832" w:rsidR="00F640B1" w:rsidRDefault="001C5DD8" w:rsidP="00F640B1">
      <w:pPr>
        <w:pStyle w:val="H3Green"/>
      </w:pPr>
      <w:r>
        <w:t>Appendix O</w:t>
      </w:r>
      <w:r w:rsidR="00F640B1">
        <w:t xml:space="preserve"> </w:t>
      </w:r>
      <w:r w:rsidR="00304CD2">
        <w:t>–</w:t>
      </w:r>
      <w:r w:rsidR="00F640B1">
        <w:t xml:space="preserve"> </w:t>
      </w:r>
      <w:r>
        <w:t>Create a Culture of Health</w:t>
      </w:r>
    </w:p>
    <w:p w14:paraId="37BECAEB" w14:textId="70CEF955" w:rsidR="00BE5068" w:rsidRPr="00BE5068" w:rsidRDefault="00BE5068" w:rsidP="00BE5068">
      <w:pPr>
        <w:pStyle w:val="H3Green"/>
        <w:spacing w:after="180" w:line="260" w:lineRule="auto"/>
        <w:rPr>
          <w:b w:val="0"/>
          <w:bCs w:val="0"/>
          <w:color w:val="auto"/>
          <w:spacing w:val="-2"/>
          <w:sz w:val="20"/>
        </w:rPr>
      </w:pPr>
      <w:r w:rsidRPr="00BE5068">
        <w:rPr>
          <w:b w:val="0"/>
          <w:bCs w:val="0"/>
          <w:color w:val="auto"/>
          <w:spacing w:val="-2"/>
          <w:sz w:val="20"/>
        </w:rPr>
        <w:t xml:space="preserve">A culture of health starts in communities where healthy choices about what to eat, how much to exercise, or whether to smoke or bicycle or work are easy choices. A culture of health starts where the environments in which we live-our schools, workplaces, and neighborhoods-are health enhancing. All of the outcome measures for goal #1 are centered on private entities and state government entities. One identified gap </w:t>
      </w:r>
      <w:r>
        <w:rPr>
          <w:b w:val="0"/>
          <w:bCs w:val="0"/>
          <w:color w:val="auto"/>
          <w:spacing w:val="-2"/>
          <w:sz w:val="20"/>
        </w:rPr>
        <w:br/>
      </w:r>
      <w:r w:rsidRPr="00BE5068">
        <w:rPr>
          <w:b w:val="0"/>
          <w:bCs w:val="0"/>
          <w:color w:val="auto"/>
          <w:spacing w:val="-2"/>
          <w:sz w:val="20"/>
        </w:rPr>
        <w:t xml:space="preserve">in the information we have about worksite wellness programs and health promotion activities within Mississippi is city and county governments. Over the next year, the Mississippi Business Group on Health and the Mississippi State Department of Health plan to survey local governments </w:t>
      </w:r>
      <w:r>
        <w:rPr>
          <w:b w:val="0"/>
          <w:bCs w:val="0"/>
          <w:color w:val="auto"/>
          <w:spacing w:val="-2"/>
          <w:sz w:val="20"/>
        </w:rPr>
        <w:br/>
      </w:r>
      <w:r w:rsidRPr="00BE5068">
        <w:rPr>
          <w:b w:val="0"/>
          <w:bCs w:val="0"/>
          <w:color w:val="auto"/>
          <w:spacing w:val="-2"/>
          <w:sz w:val="20"/>
        </w:rPr>
        <w:t xml:space="preserve">to evaluate their worksite wellness needs. Based on the results of this assessment, we plan to develop actions to expand wellness and health promotion activities into this sector. </w:t>
      </w:r>
    </w:p>
    <w:p w14:paraId="6FCD1266" w14:textId="72DFB401" w:rsidR="00D60B29" w:rsidRDefault="001C5DD8" w:rsidP="00D60B29">
      <w:pPr>
        <w:pStyle w:val="H3Green"/>
      </w:pPr>
      <w:r>
        <w:t>APPENDIX O</w:t>
      </w:r>
      <w:r w:rsidR="00A025BA">
        <w:t xml:space="preserve">: </w:t>
      </w:r>
      <w:r w:rsidR="00D60B29" w:rsidRPr="00D60B29">
        <w:t>Mississippi State Community Scorecard – 2016</w:t>
      </w:r>
      <w:r w:rsidR="00D60B29">
        <w:br/>
      </w:r>
      <w:r w:rsidR="001103DF">
        <w:t>PRIORITY ARE</w:t>
      </w:r>
      <w:r>
        <w:t>A #4</w:t>
      </w:r>
      <w:r w:rsidR="00A025BA">
        <w:t>:</w:t>
      </w:r>
      <w:r w:rsidR="00D60B29" w:rsidRPr="00D60B29">
        <w:t xml:space="preserve"> </w:t>
      </w:r>
      <w:r>
        <w:t>Create a Culture of Health</w:t>
      </w:r>
    </w:p>
    <w:p w14:paraId="31CDC1C3" w14:textId="2F2D1A9C" w:rsidR="008A155C" w:rsidRDefault="00A30B27" w:rsidP="008A155C">
      <w:pPr>
        <w:pStyle w:val="H3Blue"/>
      </w:pPr>
      <w:r>
        <w:t xml:space="preserve">Goal </w:t>
      </w:r>
      <w:r w:rsidR="00A016A6">
        <w:t>4</w:t>
      </w:r>
      <w:r w:rsidR="001103DF" w:rsidRPr="001103DF">
        <w:t xml:space="preserve">.1 </w:t>
      </w:r>
      <w:r w:rsidR="001C5DD8">
        <w:t>Improve the culture of health in Mississippi workplaces</w:t>
      </w:r>
    </w:p>
    <w:p w14:paraId="7A925BA3" w14:textId="5DC8F9C5" w:rsidR="008A155C" w:rsidRDefault="001C5DD8" w:rsidP="008A155C">
      <w:r w:rsidRPr="001C5DD8">
        <w:rPr>
          <w:b/>
        </w:rPr>
        <w:t xml:space="preserve">Strategic Objective 4.1.1 </w:t>
      </w:r>
      <w:r w:rsidRPr="001C5DD8">
        <w:t>Increase the number of Mississippi worksites that offer employee wellness programs</w:t>
      </w:r>
      <w:r w:rsidRPr="001C5DD8">
        <w:rPr>
          <w:b/>
        </w:rPr>
        <w:t xml:space="preserve">  </w:t>
      </w:r>
    </w:p>
    <w:tbl>
      <w:tblPr>
        <w:tblStyle w:val="TableGrid"/>
        <w:tblW w:w="4913"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ayout w:type="fixed"/>
        <w:tblCellMar>
          <w:left w:w="115" w:type="dxa"/>
          <w:right w:w="115" w:type="dxa"/>
        </w:tblCellMar>
        <w:tblLook w:val="04A0" w:firstRow="1" w:lastRow="0" w:firstColumn="1" w:lastColumn="0" w:noHBand="0" w:noVBand="1"/>
      </w:tblPr>
      <w:tblGrid>
        <w:gridCol w:w="3091"/>
        <w:gridCol w:w="1259"/>
        <w:gridCol w:w="43"/>
        <w:gridCol w:w="1279"/>
        <w:gridCol w:w="1291"/>
        <w:gridCol w:w="6319"/>
        <w:gridCol w:w="1093"/>
      </w:tblGrid>
      <w:tr w:rsidR="00466EE2" w14:paraId="08E47350" w14:textId="255D1C19" w:rsidTr="00D374C9">
        <w:trPr>
          <w:trHeight w:val="591"/>
        </w:trPr>
        <w:tc>
          <w:tcPr>
            <w:tcW w:w="1075" w:type="pct"/>
            <w:tcBorders>
              <w:right w:val="single" w:sz="12" w:space="0" w:color="FFFFFF" w:themeColor="background1"/>
            </w:tcBorders>
            <w:shd w:val="clear" w:color="auto" w:fill="F3F5E2"/>
            <w:vAlign w:val="center"/>
          </w:tcPr>
          <w:p w14:paraId="555AA8B4" w14:textId="3233F5E6" w:rsidR="008C3C4D" w:rsidRPr="00042B28" w:rsidRDefault="008C3C4D" w:rsidP="0049319D">
            <w:pPr>
              <w:spacing w:after="0"/>
              <w:rPr>
                <w:b/>
                <w:color w:val="F57757"/>
                <w:szCs w:val="20"/>
              </w:rPr>
            </w:pPr>
            <w:r w:rsidRPr="00042B28">
              <w:rPr>
                <w:b/>
                <w:color w:val="F57757"/>
                <w:szCs w:val="20"/>
              </w:rPr>
              <w:t>Measure</w:t>
            </w:r>
          </w:p>
        </w:tc>
        <w:tc>
          <w:tcPr>
            <w:tcW w:w="453" w:type="pct"/>
            <w:gridSpan w:val="2"/>
            <w:tcBorders>
              <w:left w:val="single" w:sz="12" w:space="0" w:color="FFFFFF" w:themeColor="background1"/>
              <w:right w:val="single" w:sz="12" w:space="0" w:color="FFFFFF" w:themeColor="background1"/>
            </w:tcBorders>
            <w:shd w:val="clear" w:color="auto" w:fill="F3F5E2"/>
            <w:vAlign w:val="center"/>
          </w:tcPr>
          <w:p w14:paraId="1206EFC3" w14:textId="6891FED6" w:rsidR="008C3C4D" w:rsidRPr="008C3C4D" w:rsidRDefault="008C3C4D" w:rsidP="0049319D">
            <w:pPr>
              <w:spacing w:after="0"/>
              <w:ind w:left="-280" w:firstLine="270"/>
              <w:rPr>
                <w:b/>
                <w:color w:val="F57757"/>
                <w:szCs w:val="20"/>
              </w:rPr>
            </w:pPr>
            <w:r w:rsidRPr="008C3C4D">
              <w:rPr>
                <w:b/>
                <w:color w:val="F57757"/>
                <w:szCs w:val="20"/>
              </w:rPr>
              <w:t>Baseline</w:t>
            </w:r>
          </w:p>
        </w:tc>
        <w:tc>
          <w:tcPr>
            <w:tcW w:w="445" w:type="pct"/>
            <w:tcBorders>
              <w:left w:val="single" w:sz="12" w:space="0" w:color="FFFFFF" w:themeColor="background1"/>
              <w:right w:val="single" w:sz="12" w:space="0" w:color="FFFFFF" w:themeColor="background1"/>
            </w:tcBorders>
            <w:shd w:val="clear" w:color="auto" w:fill="F3F5E2"/>
            <w:vAlign w:val="center"/>
          </w:tcPr>
          <w:p w14:paraId="37A818F6" w14:textId="3349790D" w:rsidR="008C3C4D" w:rsidRPr="008C3C4D" w:rsidRDefault="008C3C4D" w:rsidP="0049319D">
            <w:pPr>
              <w:spacing w:after="0" w:line="240" w:lineRule="auto"/>
              <w:rPr>
                <w:b/>
                <w:color w:val="F57757"/>
                <w:szCs w:val="20"/>
              </w:rPr>
            </w:pPr>
            <w:r>
              <w:rPr>
                <w:b/>
                <w:color w:val="F57757"/>
                <w:szCs w:val="20"/>
              </w:rPr>
              <w:t>Current/</w:t>
            </w:r>
            <w:r w:rsidR="003E23FD">
              <w:rPr>
                <w:b/>
                <w:color w:val="F57757"/>
                <w:szCs w:val="20"/>
              </w:rPr>
              <w:br/>
            </w:r>
            <w:r>
              <w:rPr>
                <w:b/>
                <w:color w:val="F57757"/>
                <w:szCs w:val="20"/>
              </w:rPr>
              <w:t>Date</w:t>
            </w:r>
          </w:p>
        </w:tc>
        <w:tc>
          <w:tcPr>
            <w:tcW w:w="449" w:type="pct"/>
            <w:tcBorders>
              <w:left w:val="single" w:sz="12" w:space="0" w:color="FFFFFF" w:themeColor="background1"/>
              <w:right w:val="single" w:sz="12" w:space="0" w:color="FFFFFF" w:themeColor="background1"/>
            </w:tcBorders>
            <w:shd w:val="clear" w:color="auto" w:fill="F3F5E2"/>
            <w:vAlign w:val="center"/>
          </w:tcPr>
          <w:p w14:paraId="2F28D4AC" w14:textId="7CADEE9E" w:rsidR="008C3C4D" w:rsidRPr="008C3C4D" w:rsidRDefault="008C3C4D" w:rsidP="0049319D">
            <w:pPr>
              <w:spacing w:after="0"/>
              <w:rPr>
                <w:b/>
                <w:color w:val="F57757"/>
                <w:szCs w:val="20"/>
              </w:rPr>
            </w:pPr>
            <w:r w:rsidRPr="008C3C4D">
              <w:rPr>
                <w:b/>
                <w:color w:val="F57757"/>
                <w:szCs w:val="20"/>
              </w:rPr>
              <w:t>Target</w:t>
            </w:r>
          </w:p>
        </w:tc>
        <w:tc>
          <w:tcPr>
            <w:tcW w:w="2198" w:type="pct"/>
            <w:tcBorders>
              <w:left w:val="single" w:sz="12" w:space="0" w:color="FFFFFF" w:themeColor="background1"/>
              <w:right w:val="single" w:sz="12" w:space="0" w:color="FFFFFF"/>
            </w:tcBorders>
            <w:shd w:val="clear" w:color="auto" w:fill="F3F5E2"/>
            <w:vAlign w:val="center"/>
          </w:tcPr>
          <w:p w14:paraId="4C73933D" w14:textId="7C0BEDAC" w:rsidR="008C3C4D" w:rsidRPr="00042B28" w:rsidRDefault="008C3C4D" w:rsidP="0049319D">
            <w:pPr>
              <w:spacing w:after="0"/>
              <w:rPr>
                <w:b/>
                <w:color w:val="F57757"/>
                <w:szCs w:val="20"/>
              </w:rPr>
            </w:pPr>
            <w:r w:rsidRPr="00042B28">
              <w:rPr>
                <w:b/>
                <w:color w:val="F57757"/>
                <w:szCs w:val="20"/>
              </w:rPr>
              <w:t>Critical Actions/Intervention Strategies</w:t>
            </w:r>
          </w:p>
        </w:tc>
        <w:tc>
          <w:tcPr>
            <w:tcW w:w="380" w:type="pct"/>
            <w:tcBorders>
              <w:left w:val="single" w:sz="12" w:space="0" w:color="FFFFFF"/>
            </w:tcBorders>
            <w:shd w:val="clear" w:color="auto" w:fill="F3F5E2"/>
            <w:vAlign w:val="center"/>
          </w:tcPr>
          <w:p w14:paraId="000BB02C" w14:textId="7E52AC84" w:rsidR="008C3C4D" w:rsidRPr="00042B28" w:rsidRDefault="008C3C4D" w:rsidP="0049319D">
            <w:pPr>
              <w:spacing w:after="0" w:line="240" w:lineRule="auto"/>
              <w:rPr>
                <w:b/>
                <w:color w:val="F57757"/>
                <w:szCs w:val="20"/>
              </w:rPr>
            </w:pPr>
            <w:r w:rsidRPr="00042B28">
              <w:rPr>
                <w:b/>
                <w:color w:val="F57757"/>
                <w:szCs w:val="20"/>
              </w:rPr>
              <w:t>Status</w:t>
            </w:r>
            <w:r w:rsidRPr="00042B28">
              <w:rPr>
                <w:b/>
                <w:color w:val="F57757"/>
                <w:szCs w:val="20"/>
              </w:rPr>
              <w:br/>
              <w:t>R/Y/G</w:t>
            </w:r>
          </w:p>
        </w:tc>
      </w:tr>
      <w:tr w:rsidR="00466EE2" w14:paraId="7D456122" w14:textId="5B72273A" w:rsidTr="00D374C9">
        <w:trPr>
          <w:trHeight w:val="699"/>
        </w:trPr>
        <w:tc>
          <w:tcPr>
            <w:tcW w:w="1075" w:type="pct"/>
          </w:tcPr>
          <w:p w14:paraId="5A10AFFF" w14:textId="77777777" w:rsidR="001C5DD8" w:rsidRPr="001C5DD8" w:rsidRDefault="001C5DD8" w:rsidP="001C5DD8">
            <w:pPr>
              <w:spacing w:line="260" w:lineRule="exact"/>
              <w:rPr>
                <w:sz w:val="19"/>
                <w:szCs w:val="19"/>
              </w:rPr>
            </w:pPr>
            <w:r w:rsidRPr="001C5DD8">
              <w:rPr>
                <w:sz w:val="19"/>
                <w:szCs w:val="19"/>
              </w:rPr>
              <w:t xml:space="preserve">Percent of private worksites conducting wellness programs or health promotion activities  </w:t>
            </w:r>
          </w:p>
          <w:p w14:paraId="3F2889F9" w14:textId="5779D8FD" w:rsidR="008C3C4D" w:rsidRPr="001C5DD8" w:rsidRDefault="001C5DD8" w:rsidP="001C5DD8">
            <w:pPr>
              <w:spacing w:line="260" w:lineRule="exact"/>
              <w:rPr>
                <w:i/>
                <w:sz w:val="19"/>
                <w:szCs w:val="19"/>
              </w:rPr>
            </w:pPr>
            <w:r>
              <w:rPr>
                <w:i/>
                <w:sz w:val="19"/>
                <w:szCs w:val="19"/>
              </w:rPr>
              <w:t xml:space="preserve">Data Source: </w:t>
            </w:r>
            <w:r w:rsidRPr="001C5DD8">
              <w:rPr>
                <w:i/>
                <w:sz w:val="19"/>
                <w:szCs w:val="19"/>
              </w:rPr>
              <w:t>Mississippi Worksite Survey</w:t>
            </w:r>
          </w:p>
        </w:tc>
        <w:tc>
          <w:tcPr>
            <w:tcW w:w="438" w:type="pct"/>
          </w:tcPr>
          <w:p w14:paraId="2E69EDB3" w14:textId="77777777" w:rsidR="001C5DD8" w:rsidRPr="001C5DD8" w:rsidRDefault="001C5DD8" w:rsidP="001C5DD8">
            <w:pPr>
              <w:spacing w:line="260" w:lineRule="exact"/>
              <w:rPr>
                <w:sz w:val="19"/>
                <w:szCs w:val="19"/>
              </w:rPr>
            </w:pPr>
            <w:r w:rsidRPr="001C5DD8">
              <w:rPr>
                <w:sz w:val="19"/>
                <w:szCs w:val="19"/>
              </w:rPr>
              <w:t>December 31, 2014:</w:t>
            </w:r>
          </w:p>
          <w:p w14:paraId="1141DAFE" w14:textId="16551C5E" w:rsidR="008C3C4D" w:rsidRPr="005E24BF" w:rsidRDefault="001C5DD8" w:rsidP="005E24BF">
            <w:pPr>
              <w:spacing w:line="260" w:lineRule="exact"/>
              <w:rPr>
                <w:sz w:val="19"/>
                <w:szCs w:val="19"/>
              </w:rPr>
            </w:pPr>
            <w:r>
              <w:rPr>
                <w:sz w:val="19"/>
                <w:szCs w:val="19"/>
              </w:rPr>
              <w:t>66.6%</w:t>
            </w:r>
          </w:p>
        </w:tc>
        <w:tc>
          <w:tcPr>
            <w:tcW w:w="460" w:type="pct"/>
            <w:gridSpan w:val="2"/>
          </w:tcPr>
          <w:p w14:paraId="11FB5630" w14:textId="1A3A8A6F" w:rsidR="008C3C4D" w:rsidRPr="005E24BF" w:rsidRDefault="00D374C9" w:rsidP="005E24BF">
            <w:pPr>
              <w:spacing w:line="260" w:lineRule="exact"/>
              <w:rPr>
                <w:sz w:val="19"/>
                <w:szCs w:val="19"/>
              </w:rPr>
            </w:pPr>
            <w:r>
              <w:rPr>
                <w:sz w:val="19"/>
                <w:szCs w:val="19"/>
              </w:rPr>
              <w:t>September 29, 2</w:t>
            </w:r>
            <w:bookmarkStart w:id="0" w:name="_GoBack"/>
            <w:bookmarkEnd w:id="0"/>
            <w:r>
              <w:rPr>
                <w:sz w:val="19"/>
                <w:szCs w:val="19"/>
              </w:rPr>
              <w:t>017</w:t>
            </w:r>
          </w:p>
        </w:tc>
        <w:tc>
          <w:tcPr>
            <w:tcW w:w="449" w:type="pct"/>
          </w:tcPr>
          <w:p w14:paraId="0FC41C2F" w14:textId="77777777" w:rsidR="001C5DD8" w:rsidRPr="001C5DD8" w:rsidRDefault="001C5DD8" w:rsidP="001C5DD8">
            <w:pPr>
              <w:spacing w:line="260" w:lineRule="exact"/>
              <w:rPr>
                <w:sz w:val="19"/>
                <w:szCs w:val="19"/>
              </w:rPr>
            </w:pPr>
            <w:r w:rsidRPr="001C5DD8">
              <w:rPr>
                <w:sz w:val="19"/>
                <w:szCs w:val="19"/>
              </w:rPr>
              <w:t>December 31, 2019:</w:t>
            </w:r>
          </w:p>
          <w:p w14:paraId="267B0B55" w14:textId="717A02F9" w:rsidR="008C3C4D" w:rsidRPr="005E24BF" w:rsidRDefault="001C5DD8" w:rsidP="001C5DD8">
            <w:pPr>
              <w:spacing w:line="260" w:lineRule="exact"/>
              <w:rPr>
                <w:sz w:val="19"/>
                <w:szCs w:val="19"/>
              </w:rPr>
            </w:pPr>
            <w:r w:rsidRPr="001C5DD8">
              <w:rPr>
                <w:sz w:val="19"/>
                <w:szCs w:val="19"/>
              </w:rPr>
              <w:t>82%</w:t>
            </w:r>
          </w:p>
        </w:tc>
        <w:tc>
          <w:tcPr>
            <w:tcW w:w="2198" w:type="pct"/>
          </w:tcPr>
          <w:p w14:paraId="19FD4B90" w14:textId="77777777" w:rsidR="00030BB7" w:rsidRPr="00030BB7" w:rsidRDefault="00030BB7" w:rsidP="00030BB7">
            <w:pPr>
              <w:spacing w:line="260" w:lineRule="exact"/>
              <w:rPr>
                <w:sz w:val="19"/>
                <w:szCs w:val="19"/>
              </w:rPr>
            </w:pPr>
            <w:r w:rsidRPr="00030BB7">
              <w:rPr>
                <w:sz w:val="19"/>
                <w:szCs w:val="19"/>
              </w:rPr>
              <w:t>a. Promote the Recognized Healthy Workplace Program through multiple channels throughout the state</w:t>
            </w:r>
          </w:p>
          <w:p w14:paraId="6DB54CA7" w14:textId="77FA431B" w:rsidR="00030BB7" w:rsidRDefault="00030BB7" w:rsidP="00030BB7">
            <w:pPr>
              <w:spacing w:line="260" w:lineRule="exact"/>
              <w:rPr>
                <w:sz w:val="19"/>
                <w:szCs w:val="19"/>
              </w:rPr>
            </w:pPr>
            <w:r w:rsidRPr="00030BB7">
              <w:rPr>
                <w:sz w:val="19"/>
                <w:szCs w:val="19"/>
              </w:rPr>
              <w:t>b. Increase the number of applicants to the Healthiest</w:t>
            </w:r>
            <w:r w:rsidR="00D374C9">
              <w:rPr>
                <w:sz w:val="19"/>
                <w:szCs w:val="19"/>
              </w:rPr>
              <w:t xml:space="preserve"> Workplaces Awards by July 2017</w:t>
            </w:r>
          </w:p>
          <w:p w14:paraId="255B2D64" w14:textId="6B022703" w:rsidR="00030BB7" w:rsidRDefault="00030BB7" w:rsidP="00030BB7">
            <w:pPr>
              <w:spacing w:line="260" w:lineRule="exact"/>
              <w:rPr>
                <w:sz w:val="19"/>
                <w:szCs w:val="19"/>
              </w:rPr>
            </w:pPr>
            <w:r w:rsidRPr="00030BB7">
              <w:rPr>
                <w:sz w:val="19"/>
                <w:szCs w:val="19"/>
              </w:rPr>
              <w:t xml:space="preserve">c. </w:t>
            </w:r>
            <w:r w:rsidRPr="00030BB7">
              <w:rPr>
                <w:spacing w:val="-4"/>
                <w:sz w:val="19"/>
                <w:szCs w:val="19"/>
              </w:rPr>
              <w:t xml:space="preserve">Share success stories on the MSBGH, MSDH, and MS Business Journal publications </w:t>
            </w:r>
            <w:r w:rsidR="00D374C9">
              <w:rPr>
                <w:spacing w:val="-4"/>
                <w:sz w:val="19"/>
                <w:szCs w:val="19"/>
              </w:rPr>
              <w:t>and media outlets by August 2017</w:t>
            </w:r>
          </w:p>
          <w:p w14:paraId="3D61C36F" w14:textId="4B3AAF12" w:rsidR="00030BB7" w:rsidRPr="00030BB7" w:rsidRDefault="00030BB7" w:rsidP="00030BB7">
            <w:pPr>
              <w:spacing w:line="260" w:lineRule="exact"/>
              <w:rPr>
                <w:sz w:val="19"/>
                <w:szCs w:val="19"/>
              </w:rPr>
            </w:pPr>
            <w:r w:rsidRPr="00030BB7">
              <w:rPr>
                <w:sz w:val="19"/>
                <w:szCs w:val="19"/>
              </w:rPr>
              <w:t>d. Engage business organizations to promotion and offer learning opportunities on worksite wellness best practices</w:t>
            </w:r>
          </w:p>
          <w:p w14:paraId="6A935F26" w14:textId="77777777" w:rsidR="00030BB7" w:rsidRPr="00030BB7" w:rsidRDefault="00030BB7" w:rsidP="00030BB7">
            <w:pPr>
              <w:spacing w:line="260" w:lineRule="exact"/>
              <w:rPr>
                <w:sz w:val="19"/>
                <w:szCs w:val="19"/>
              </w:rPr>
            </w:pPr>
            <w:r w:rsidRPr="00030BB7">
              <w:rPr>
                <w:sz w:val="19"/>
                <w:szCs w:val="19"/>
              </w:rPr>
              <w:t>e. Enhance resource kits on the MSDH and MSBGH websites</w:t>
            </w:r>
          </w:p>
          <w:p w14:paraId="73AF569C" w14:textId="54E15B8C" w:rsidR="008C3C4D" w:rsidRPr="005E24BF" w:rsidRDefault="00030BB7" w:rsidP="00030BB7">
            <w:pPr>
              <w:spacing w:line="260" w:lineRule="exact"/>
              <w:rPr>
                <w:sz w:val="19"/>
                <w:szCs w:val="19"/>
              </w:rPr>
            </w:pPr>
            <w:r w:rsidRPr="00030BB7">
              <w:rPr>
                <w:sz w:val="19"/>
                <w:szCs w:val="19"/>
              </w:rPr>
              <w:t xml:space="preserve">f. Prepare promotional campaign and </w:t>
            </w:r>
            <w:r w:rsidR="00D374C9">
              <w:rPr>
                <w:sz w:val="19"/>
                <w:szCs w:val="19"/>
              </w:rPr>
              <w:t>key messages for media by 3/1/17</w:t>
            </w:r>
          </w:p>
        </w:tc>
        <w:tc>
          <w:tcPr>
            <w:tcW w:w="380" w:type="pct"/>
          </w:tcPr>
          <w:p w14:paraId="7092B610" w14:textId="77777777" w:rsidR="006F4543" w:rsidRDefault="006F4543" w:rsidP="006F4543">
            <w:pPr>
              <w:spacing w:after="0" w:line="276" w:lineRule="auto"/>
              <w:rPr>
                <w:sz w:val="19"/>
                <w:szCs w:val="19"/>
              </w:rPr>
            </w:pPr>
            <w:r>
              <w:rPr>
                <w:sz w:val="19"/>
                <w:szCs w:val="19"/>
              </w:rPr>
              <w:t>G</w:t>
            </w:r>
          </w:p>
          <w:p w14:paraId="649E868E" w14:textId="77777777" w:rsidR="006F4543" w:rsidRDefault="006F4543" w:rsidP="006F4543">
            <w:pPr>
              <w:spacing w:after="0" w:line="276" w:lineRule="auto"/>
              <w:rPr>
                <w:sz w:val="19"/>
                <w:szCs w:val="19"/>
              </w:rPr>
            </w:pPr>
          </w:p>
          <w:p w14:paraId="0E0FF4C5" w14:textId="77777777" w:rsidR="006F4543" w:rsidRDefault="006F4543" w:rsidP="006F4543">
            <w:pPr>
              <w:spacing w:after="0" w:line="276" w:lineRule="auto"/>
              <w:rPr>
                <w:sz w:val="19"/>
                <w:szCs w:val="19"/>
              </w:rPr>
            </w:pPr>
          </w:p>
          <w:p w14:paraId="152DD6C0" w14:textId="77777777" w:rsidR="006F4543" w:rsidRDefault="006F4543" w:rsidP="006F4543">
            <w:pPr>
              <w:spacing w:after="0" w:line="276" w:lineRule="auto"/>
              <w:rPr>
                <w:sz w:val="19"/>
                <w:szCs w:val="19"/>
              </w:rPr>
            </w:pPr>
            <w:r>
              <w:rPr>
                <w:sz w:val="19"/>
                <w:szCs w:val="19"/>
              </w:rPr>
              <w:t>G</w:t>
            </w:r>
          </w:p>
          <w:p w14:paraId="1A944B89" w14:textId="77777777" w:rsidR="006F4543" w:rsidRDefault="006F4543" w:rsidP="006F4543">
            <w:pPr>
              <w:spacing w:after="0" w:line="276" w:lineRule="auto"/>
              <w:rPr>
                <w:sz w:val="19"/>
                <w:szCs w:val="19"/>
              </w:rPr>
            </w:pPr>
          </w:p>
          <w:p w14:paraId="33C9D3C9" w14:textId="77777777" w:rsidR="006F4543" w:rsidRDefault="006F4543" w:rsidP="006F4543">
            <w:pPr>
              <w:spacing w:after="0" w:line="276" w:lineRule="auto"/>
              <w:rPr>
                <w:sz w:val="19"/>
                <w:szCs w:val="19"/>
              </w:rPr>
            </w:pPr>
            <w:r>
              <w:rPr>
                <w:sz w:val="19"/>
                <w:szCs w:val="19"/>
              </w:rPr>
              <w:t>G</w:t>
            </w:r>
          </w:p>
          <w:p w14:paraId="60CE86AE" w14:textId="77777777" w:rsidR="006F4543" w:rsidRDefault="006F4543" w:rsidP="006F4543">
            <w:pPr>
              <w:spacing w:after="0" w:line="276" w:lineRule="auto"/>
              <w:rPr>
                <w:sz w:val="19"/>
                <w:szCs w:val="19"/>
              </w:rPr>
            </w:pPr>
          </w:p>
          <w:p w14:paraId="38CE8159" w14:textId="77777777" w:rsidR="006F4543" w:rsidRDefault="006F4543" w:rsidP="006F4543">
            <w:pPr>
              <w:spacing w:after="0" w:line="276" w:lineRule="auto"/>
              <w:rPr>
                <w:sz w:val="19"/>
                <w:szCs w:val="19"/>
              </w:rPr>
            </w:pPr>
          </w:p>
          <w:p w14:paraId="6544F6D7" w14:textId="77777777" w:rsidR="006F4543" w:rsidRDefault="006F4543" w:rsidP="006F4543">
            <w:pPr>
              <w:spacing w:after="0" w:line="276" w:lineRule="auto"/>
              <w:rPr>
                <w:sz w:val="19"/>
                <w:szCs w:val="19"/>
              </w:rPr>
            </w:pPr>
            <w:r>
              <w:rPr>
                <w:sz w:val="19"/>
                <w:szCs w:val="19"/>
              </w:rPr>
              <w:t>G</w:t>
            </w:r>
          </w:p>
          <w:p w14:paraId="21BE8933" w14:textId="77777777" w:rsidR="006F4543" w:rsidRDefault="006F4543" w:rsidP="006F4543">
            <w:pPr>
              <w:spacing w:after="0" w:line="276" w:lineRule="auto"/>
              <w:rPr>
                <w:sz w:val="19"/>
                <w:szCs w:val="19"/>
              </w:rPr>
            </w:pPr>
          </w:p>
          <w:p w14:paraId="573F8109" w14:textId="77777777" w:rsidR="006F4543" w:rsidRDefault="006F4543" w:rsidP="006F4543">
            <w:pPr>
              <w:spacing w:after="0" w:line="276" w:lineRule="auto"/>
              <w:rPr>
                <w:sz w:val="19"/>
                <w:szCs w:val="19"/>
              </w:rPr>
            </w:pPr>
            <w:r>
              <w:rPr>
                <w:sz w:val="19"/>
                <w:szCs w:val="19"/>
              </w:rPr>
              <w:t>G</w:t>
            </w:r>
          </w:p>
          <w:p w14:paraId="1D412340" w14:textId="77777777" w:rsidR="006F4543" w:rsidRDefault="006F4543" w:rsidP="006F4543">
            <w:pPr>
              <w:spacing w:after="0" w:line="276" w:lineRule="auto"/>
              <w:rPr>
                <w:sz w:val="19"/>
                <w:szCs w:val="19"/>
              </w:rPr>
            </w:pPr>
          </w:p>
          <w:p w14:paraId="6E166448" w14:textId="6C12137E" w:rsidR="006F4543" w:rsidRDefault="006F4543" w:rsidP="006F4543">
            <w:pPr>
              <w:spacing w:after="0" w:line="276" w:lineRule="auto"/>
              <w:rPr>
                <w:sz w:val="19"/>
                <w:szCs w:val="19"/>
              </w:rPr>
            </w:pPr>
            <w:r>
              <w:rPr>
                <w:sz w:val="19"/>
                <w:szCs w:val="19"/>
              </w:rPr>
              <w:t>G</w:t>
            </w:r>
          </w:p>
          <w:p w14:paraId="3A460FA9" w14:textId="77777777" w:rsidR="006F4543" w:rsidRDefault="006F4543" w:rsidP="006F4543">
            <w:pPr>
              <w:spacing w:after="0" w:line="276" w:lineRule="auto"/>
              <w:rPr>
                <w:sz w:val="19"/>
                <w:szCs w:val="19"/>
              </w:rPr>
            </w:pPr>
          </w:p>
          <w:p w14:paraId="4557D275" w14:textId="168E3A87" w:rsidR="006F4543" w:rsidRPr="005E24BF" w:rsidRDefault="006F4543" w:rsidP="006F4543">
            <w:pPr>
              <w:spacing w:after="0" w:line="276" w:lineRule="auto"/>
              <w:rPr>
                <w:sz w:val="19"/>
                <w:szCs w:val="19"/>
              </w:rPr>
            </w:pPr>
          </w:p>
        </w:tc>
      </w:tr>
      <w:tr w:rsidR="00030BB7" w14:paraId="057F2003" w14:textId="5531B9AE" w:rsidTr="00030BB7">
        <w:trPr>
          <w:trHeight w:val="276"/>
        </w:trPr>
        <w:tc>
          <w:tcPr>
            <w:tcW w:w="5000" w:type="pct"/>
            <w:gridSpan w:val="7"/>
            <w:vAlign w:val="center"/>
          </w:tcPr>
          <w:p w14:paraId="6FAD269E" w14:textId="66F2077E" w:rsidR="0011592D" w:rsidRPr="008754E4" w:rsidRDefault="00030BB7" w:rsidP="00D25AD4">
            <w:pPr>
              <w:pStyle w:val="GoalLeads"/>
            </w:pPr>
            <w:r w:rsidRPr="00030BB7">
              <w:t>Organization/ Lead Person:  a. Murray Harber, MS Business Group on Health; Victor Sutton, MSDH; b. Murray Harber, Victor Sutton; c. Murray Harber, Victor Sutton; d. Murray Harber, Victor Sutton; e. Buddy Daughdrill, MPHA; Murray Harber, MS Business Group on health; f. Victor Sutton, MSDH; Liz Sharlot, MSDH; Murray Harber, MS Business Group on Health; Buddy Daughdrill, MS Public Health Association</w:t>
            </w:r>
            <w:r w:rsidR="004A7993">
              <w:t>, Office of Performance Improvement</w:t>
            </w:r>
          </w:p>
        </w:tc>
      </w:tr>
    </w:tbl>
    <w:p w14:paraId="7F10FA31" w14:textId="77777777" w:rsidR="003C6A92" w:rsidRDefault="003C6A92" w:rsidP="003C6A92">
      <w:pPr>
        <w:pStyle w:val="H3Green"/>
      </w:pPr>
      <w:r>
        <w:lastRenderedPageBreak/>
        <w:t xml:space="preserve">APPENDIX O: </w:t>
      </w:r>
      <w:r w:rsidRPr="00D60B29">
        <w:t>Mississippi State Community Scorecard – 2016</w:t>
      </w:r>
      <w:r>
        <w:br/>
        <w:t>PRIORITY AREA #4:</w:t>
      </w:r>
      <w:r w:rsidRPr="00D60B29">
        <w:t xml:space="preserve"> </w:t>
      </w:r>
      <w:r>
        <w:t>Create a Culture of Health</w:t>
      </w:r>
    </w:p>
    <w:p w14:paraId="495B2090" w14:textId="0C1BF4E6" w:rsidR="003C6A92" w:rsidRDefault="003C6A92" w:rsidP="003C6A92">
      <w:pPr>
        <w:pStyle w:val="H3Blue"/>
      </w:pPr>
      <w:r>
        <w:t xml:space="preserve">Goal </w:t>
      </w:r>
      <w:r w:rsidR="00A016A6">
        <w:t>4</w:t>
      </w:r>
      <w:r w:rsidRPr="001103DF">
        <w:t xml:space="preserve">.1 </w:t>
      </w:r>
      <w:r>
        <w:t>Improve the culture of health in Mississippi workplaces</w:t>
      </w:r>
    </w:p>
    <w:p w14:paraId="47FD0A68" w14:textId="77777777" w:rsidR="003C6A92" w:rsidRDefault="003C6A92" w:rsidP="003C6A92">
      <w:r w:rsidRPr="001C5DD8">
        <w:rPr>
          <w:b/>
        </w:rPr>
        <w:t xml:space="preserve">Strategic Objective 4.1.1 </w:t>
      </w:r>
      <w:r w:rsidRPr="001C5DD8">
        <w:t>Increase the number of Mississippi worksites that offer employee wellness programs</w:t>
      </w:r>
      <w:r w:rsidRPr="001C5DD8">
        <w:rPr>
          <w:b/>
        </w:rPr>
        <w:t xml:space="preserve">  </w:t>
      </w:r>
    </w:p>
    <w:tbl>
      <w:tblPr>
        <w:tblStyle w:val="TableGrid"/>
        <w:tblW w:w="4913"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ayout w:type="fixed"/>
        <w:tblCellMar>
          <w:left w:w="115" w:type="dxa"/>
          <w:right w:w="115" w:type="dxa"/>
        </w:tblCellMar>
        <w:tblLook w:val="04A0" w:firstRow="1" w:lastRow="0" w:firstColumn="1" w:lastColumn="0" w:noHBand="0" w:noVBand="1"/>
      </w:tblPr>
      <w:tblGrid>
        <w:gridCol w:w="3474"/>
        <w:gridCol w:w="1282"/>
        <w:gridCol w:w="1282"/>
        <w:gridCol w:w="1282"/>
        <w:gridCol w:w="5773"/>
        <w:gridCol w:w="1282"/>
      </w:tblGrid>
      <w:tr w:rsidR="00130E3C" w14:paraId="091EF99A" w14:textId="77777777" w:rsidTr="00130E3C">
        <w:trPr>
          <w:trHeight w:val="591"/>
        </w:trPr>
        <w:tc>
          <w:tcPr>
            <w:tcW w:w="1208" w:type="pct"/>
            <w:tcBorders>
              <w:right w:val="single" w:sz="12" w:space="0" w:color="FFFFFF" w:themeColor="background1"/>
            </w:tcBorders>
            <w:shd w:val="clear" w:color="auto" w:fill="F3F5E2"/>
            <w:vAlign w:val="center"/>
          </w:tcPr>
          <w:p w14:paraId="5185064E" w14:textId="77777777" w:rsidR="003C6A92" w:rsidRPr="00042B28" w:rsidRDefault="003C6A92" w:rsidP="005A6457">
            <w:pPr>
              <w:spacing w:after="0"/>
              <w:rPr>
                <w:b/>
                <w:color w:val="F57757"/>
                <w:szCs w:val="20"/>
              </w:rPr>
            </w:pPr>
            <w:r w:rsidRPr="00042B28">
              <w:rPr>
                <w:b/>
                <w:color w:val="F57757"/>
                <w:szCs w:val="20"/>
              </w:rPr>
              <w:t>Measure</w:t>
            </w:r>
          </w:p>
        </w:tc>
        <w:tc>
          <w:tcPr>
            <w:tcW w:w="446" w:type="pct"/>
            <w:tcBorders>
              <w:left w:val="single" w:sz="12" w:space="0" w:color="FFFFFF" w:themeColor="background1"/>
              <w:right w:val="single" w:sz="12" w:space="0" w:color="FFFFFF" w:themeColor="background1"/>
            </w:tcBorders>
            <w:shd w:val="clear" w:color="auto" w:fill="F3F5E2"/>
            <w:vAlign w:val="center"/>
          </w:tcPr>
          <w:p w14:paraId="774FC5F5" w14:textId="77777777" w:rsidR="003C6A92" w:rsidRPr="008C3C4D" w:rsidRDefault="003C6A92" w:rsidP="005A6457">
            <w:pPr>
              <w:spacing w:after="0"/>
              <w:ind w:left="-280" w:firstLine="270"/>
              <w:rPr>
                <w:b/>
                <w:color w:val="F57757"/>
                <w:szCs w:val="20"/>
              </w:rPr>
            </w:pPr>
            <w:r w:rsidRPr="008C3C4D">
              <w:rPr>
                <w:b/>
                <w:color w:val="F57757"/>
                <w:szCs w:val="20"/>
              </w:rPr>
              <w:t>Baseline</w:t>
            </w:r>
          </w:p>
        </w:tc>
        <w:tc>
          <w:tcPr>
            <w:tcW w:w="446" w:type="pct"/>
            <w:tcBorders>
              <w:left w:val="single" w:sz="12" w:space="0" w:color="FFFFFF" w:themeColor="background1"/>
              <w:right w:val="single" w:sz="12" w:space="0" w:color="FFFFFF" w:themeColor="background1"/>
            </w:tcBorders>
            <w:shd w:val="clear" w:color="auto" w:fill="F3F5E2"/>
            <w:vAlign w:val="center"/>
          </w:tcPr>
          <w:p w14:paraId="4A6A5039" w14:textId="77777777" w:rsidR="003C6A92" w:rsidRPr="008C3C4D" w:rsidRDefault="003C6A92" w:rsidP="005A6457">
            <w:pPr>
              <w:spacing w:after="0" w:line="240" w:lineRule="auto"/>
              <w:rPr>
                <w:b/>
                <w:color w:val="F57757"/>
                <w:szCs w:val="20"/>
              </w:rPr>
            </w:pPr>
            <w:r>
              <w:rPr>
                <w:b/>
                <w:color w:val="F57757"/>
                <w:szCs w:val="20"/>
              </w:rPr>
              <w:t>Current/</w:t>
            </w:r>
            <w:r>
              <w:rPr>
                <w:b/>
                <w:color w:val="F57757"/>
                <w:szCs w:val="20"/>
              </w:rPr>
              <w:br/>
              <w:t>Date</w:t>
            </w:r>
          </w:p>
        </w:tc>
        <w:tc>
          <w:tcPr>
            <w:tcW w:w="446" w:type="pct"/>
            <w:tcBorders>
              <w:left w:val="single" w:sz="12" w:space="0" w:color="FFFFFF" w:themeColor="background1"/>
              <w:right w:val="single" w:sz="12" w:space="0" w:color="FFFFFF" w:themeColor="background1"/>
            </w:tcBorders>
            <w:shd w:val="clear" w:color="auto" w:fill="F3F5E2"/>
            <w:vAlign w:val="center"/>
          </w:tcPr>
          <w:p w14:paraId="6B947D3C" w14:textId="77777777" w:rsidR="003C6A92" w:rsidRPr="008C3C4D" w:rsidRDefault="003C6A92" w:rsidP="005A6457">
            <w:pPr>
              <w:spacing w:after="0"/>
              <w:rPr>
                <w:b/>
                <w:color w:val="F57757"/>
                <w:szCs w:val="20"/>
              </w:rPr>
            </w:pPr>
            <w:r w:rsidRPr="008C3C4D">
              <w:rPr>
                <w:b/>
                <w:color w:val="F57757"/>
                <w:szCs w:val="20"/>
              </w:rPr>
              <w:t>Target</w:t>
            </w:r>
          </w:p>
        </w:tc>
        <w:tc>
          <w:tcPr>
            <w:tcW w:w="2008" w:type="pct"/>
            <w:tcBorders>
              <w:left w:val="single" w:sz="12" w:space="0" w:color="FFFFFF" w:themeColor="background1"/>
              <w:right w:val="single" w:sz="12" w:space="0" w:color="FFFFFF"/>
            </w:tcBorders>
            <w:shd w:val="clear" w:color="auto" w:fill="F3F5E2"/>
            <w:vAlign w:val="center"/>
          </w:tcPr>
          <w:p w14:paraId="3A956188" w14:textId="77777777" w:rsidR="003C6A92" w:rsidRPr="00042B28" w:rsidRDefault="003C6A92" w:rsidP="005A6457">
            <w:pPr>
              <w:spacing w:after="0"/>
              <w:rPr>
                <w:b/>
                <w:color w:val="F57757"/>
                <w:szCs w:val="20"/>
              </w:rPr>
            </w:pPr>
            <w:r w:rsidRPr="00042B28">
              <w:rPr>
                <w:b/>
                <w:color w:val="F57757"/>
                <w:szCs w:val="20"/>
              </w:rPr>
              <w:t>Critical Actions/Intervention Strategies</w:t>
            </w:r>
          </w:p>
        </w:tc>
        <w:tc>
          <w:tcPr>
            <w:tcW w:w="446" w:type="pct"/>
            <w:tcBorders>
              <w:left w:val="single" w:sz="12" w:space="0" w:color="FFFFFF"/>
            </w:tcBorders>
            <w:shd w:val="clear" w:color="auto" w:fill="F3F5E2"/>
            <w:vAlign w:val="center"/>
          </w:tcPr>
          <w:p w14:paraId="0FCB6644" w14:textId="77777777" w:rsidR="003C6A92" w:rsidRPr="00042B28" w:rsidRDefault="003C6A92" w:rsidP="005A6457">
            <w:pPr>
              <w:spacing w:after="0" w:line="240" w:lineRule="auto"/>
              <w:rPr>
                <w:b/>
                <w:color w:val="F57757"/>
                <w:szCs w:val="20"/>
              </w:rPr>
            </w:pPr>
            <w:r w:rsidRPr="00042B28">
              <w:rPr>
                <w:b/>
                <w:color w:val="F57757"/>
                <w:szCs w:val="20"/>
              </w:rPr>
              <w:t>Status</w:t>
            </w:r>
            <w:r w:rsidRPr="00042B28">
              <w:rPr>
                <w:b/>
                <w:color w:val="F57757"/>
                <w:szCs w:val="20"/>
              </w:rPr>
              <w:br/>
              <w:t>R/Y/G</w:t>
            </w:r>
          </w:p>
        </w:tc>
      </w:tr>
      <w:tr w:rsidR="00130E3C" w14:paraId="1965654C" w14:textId="77777777" w:rsidTr="00130E3C">
        <w:trPr>
          <w:trHeight w:val="1149"/>
        </w:trPr>
        <w:tc>
          <w:tcPr>
            <w:tcW w:w="1208" w:type="pct"/>
          </w:tcPr>
          <w:p w14:paraId="7C0397E7" w14:textId="77777777" w:rsidR="00933D81" w:rsidRPr="001C5DD8" w:rsidRDefault="00933D81" w:rsidP="00F070BF">
            <w:pPr>
              <w:spacing w:after="100" w:line="260" w:lineRule="exact"/>
              <w:rPr>
                <w:sz w:val="19"/>
                <w:szCs w:val="19"/>
              </w:rPr>
            </w:pPr>
            <w:r w:rsidRPr="001C5DD8">
              <w:rPr>
                <w:sz w:val="19"/>
                <w:szCs w:val="19"/>
              </w:rPr>
              <w:t xml:space="preserve">Percent of private worksites conducting wellness programs or health promotion activities  </w:t>
            </w:r>
          </w:p>
          <w:p w14:paraId="13799C2B" w14:textId="30E775D3" w:rsidR="003C6A92" w:rsidRPr="003C6A92" w:rsidRDefault="00933D81" w:rsidP="00933D81">
            <w:pPr>
              <w:spacing w:after="40" w:line="260" w:lineRule="exact"/>
              <w:rPr>
                <w:i/>
                <w:sz w:val="19"/>
                <w:szCs w:val="19"/>
              </w:rPr>
            </w:pPr>
            <w:r>
              <w:rPr>
                <w:i/>
                <w:sz w:val="19"/>
                <w:szCs w:val="19"/>
              </w:rPr>
              <w:t xml:space="preserve">Data Source: </w:t>
            </w:r>
            <w:r w:rsidRPr="001C5DD8">
              <w:rPr>
                <w:i/>
                <w:sz w:val="19"/>
                <w:szCs w:val="19"/>
              </w:rPr>
              <w:t>Mississippi Worksite Survey</w:t>
            </w:r>
          </w:p>
        </w:tc>
        <w:tc>
          <w:tcPr>
            <w:tcW w:w="446" w:type="pct"/>
          </w:tcPr>
          <w:p w14:paraId="3B68EA93" w14:textId="77777777" w:rsidR="003C6A92" w:rsidRPr="001C5DD8" w:rsidRDefault="003C6A92" w:rsidP="005A6457">
            <w:pPr>
              <w:spacing w:line="260" w:lineRule="exact"/>
              <w:rPr>
                <w:sz w:val="19"/>
                <w:szCs w:val="19"/>
              </w:rPr>
            </w:pPr>
            <w:r w:rsidRPr="001C5DD8">
              <w:rPr>
                <w:sz w:val="19"/>
                <w:szCs w:val="19"/>
              </w:rPr>
              <w:t>December 31, 2014:</w:t>
            </w:r>
          </w:p>
          <w:p w14:paraId="42FBD1C9" w14:textId="77777777" w:rsidR="003C6A92" w:rsidRPr="005E24BF" w:rsidRDefault="003C6A92" w:rsidP="005A6457">
            <w:pPr>
              <w:spacing w:line="260" w:lineRule="exact"/>
              <w:rPr>
                <w:sz w:val="19"/>
                <w:szCs w:val="19"/>
              </w:rPr>
            </w:pPr>
            <w:r>
              <w:rPr>
                <w:sz w:val="19"/>
                <w:szCs w:val="19"/>
              </w:rPr>
              <w:t>66.6%</w:t>
            </w:r>
          </w:p>
        </w:tc>
        <w:tc>
          <w:tcPr>
            <w:tcW w:w="446" w:type="pct"/>
          </w:tcPr>
          <w:p w14:paraId="51ABD154" w14:textId="18A53E7B" w:rsidR="003C6A92" w:rsidRPr="005E24BF" w:rsidRDefault="00D374C9" w:rsidP="005A6457">
            <w:pPr>
              <w:spacing w:line="260" w:lineRule="exact"/>
              <w:rPr>
                <w:sz w:val="19"/>
                <w:szCs w:val="19"/>
              </w:rPr>
            </w:pPr>
            <w:r>
              <w:rPr>
                <w:sz w:val="19"/>
                <w:szCs w:val="19"/>
              </w:rPr>
              <w:t>September 29, 2017</w:t>
            </w:r>
          </w:p>
        </w:tc>
        <w:tc>
          <w:tcPr>
            <w:tcW w:w="446" w:type="pct"/>
          </w:tcPr>
          <w:p w14:paraId="478A5E07" w14:textId="77777777" w:rsidR="003C6A92" w:rsidRPr="001C5DD8" w:rsidRDefault="003C6A92" w:rsidP="005A6457">
            <w:pPr>
              <w:spacing w:line="260" w:lineRule="exact"/>
              <w:rPr>
                <w:sz w:val="19"/>
                <w:szCs w:val="19"/>
              </w:rPr>
            </w:pPr>
            <w:r w:rsidRPr="001C5DD8">
              <w:rPr>
                <w:sz w:val="19"/>
                <w:szCs w:val="19"/>
              </w:rPr>
              <w:t>December 31, 2019:</w:t>
            </w:r>
          </w:p>
          <w:p w14:paraId="22461C92" w14:textId="77777777" w:rsidR="003C6A92" w:rsidRPr="005E24BF" w:rsidRDefault="003C6A92" w:rsidP="005A6457">
            <w:pPr>
              <w:spacing w:line="260" w:lineRule="exact"/>
              <w:rPr>
                <w:sz w:val="19"/>
                <w:szCs w:val="19"/>
              </w:rPr>
            </w:pPr>
            <w:r w:rsidRPr="001C5DD8">
              <w:rPr>
                <w:sz w:val="19"/>
                <w:szCs w:val="19"/>
              </w:rPr>
              <w:t>82%</w:t>
            </w:r>
          </w:p>
        </w:tc>
        <w:tc>
          <w:tcPr>
            <w:tcW w:w="2008" w:type="pct"/>
          </w:tcPr>
          <w:p w14:paraId="5E6291E7" w14:textId="747E65B4" w:rsidR="003C6A92" w:rsidRPr="003C6A92" w:rsidRDefault="003C6A92" w:rsidP="00570B22">
            <w:pPr>
              <w:spacing w:line="260" w:lineRule="exact"/>
              <w:rPr>
                <w:sz w:val="19"/>
                <w:szCs w:val="19"/>
              </w:rPr>
            </w:pPr>
            <w:r w:rsidRPr="003C6A92">
              <w:rPr>
                <w:sz w:val="19"/>
                <w:szCs w:val="19"/>
              </w:rPr>
              <w:t>g. Present package at MEC annual conference an</w:t>
            </w:r>
            <w:r w:rsidR="00D374C9">
              <w:rPr>
                <w:sz w:val="19"/>
                <w:szCs w:val="19"/>
              </w:rPr>
              <w:t xml:space="preserve">d other groups, </w:t>
            </w:r>
            <w:proofErr w:type="spellStart"/>
            <w:r w:rsidR="00D374C9">
              <w:rPr>
                <w:sz w:val="19"/>
                <w:szCs w:val="19"/>
              </w:rPr>
              <w:t>ie</w:t>
            </w:r>
            <w:proofErr w:type="spellEnd"/>
            <w:r w:rsidR="00D374C9">
              <w:rPr>
                <w:sz w:val="19"/>
                <w:szCs w:val="19"/>
              </w:rPr>
              <w:t>:  MEC Spring 2017, SHRM May 2017, MBGH October 2017, MASI September 2017</w:t>
            </w:r>
            <w:r w:rsidRPr="003C6A92">
              <w:rPr>
                <w:sz w:val="19"/>
                <w:szCs w:val="19"/>
              </w:rPr>
              <w:t xml:space="preserve">, </w:t>
            </w:r>
            <w:proofErr w:type="gramStart"/>
            <w:r w:rsidRPr="003C6A92">
              <w:rPr>
                <w:sz w:val="19"/>
                <w:szCs w:val="19"/>
              </w:rPr>
              <w:t>MAPA</w:t>
            </w:r>
            <w:proofErr w:type="gramEnd"/>
            <w:r w:rsidRPr="003C6A92">
              <w:rPr>
                <w:sz w:val="19"/>
                <w:szCs w:val="19"/>
              </w:rPr>
              <w:t xml:space="preserve"> </w:t>
            </w:r>
            <w:r w:rsidR="00D374C9">
              <w:rPr>
                <w:sz w:val="19"/>
                <w:szCs w:val="19"/>
              </w:rPr>
              <w:t>September 2017</w:t>
            </w:r>
            <w:r w:rsidRPr="003C6A92">
              <w:rPr>
                <w:sz w:val="19"/>
                <w:szCs w:val="19"/>
              </w:rPr>
              <w:t>.</w:t>
            </w:r>
          </w:p>
          <w:p w14:paraId="52724F61" w14:textId="23608E78" w:rsidR="003C6A92" w:rsidRPr="005E24BF" w:rsidRDefault="003C6A92" w:rsidP="00570B22">
            <w:pPr>
              <w:spacing w:line="260" w:lineRule="exact"/>
              <w:rPr>
                <w:sz w:val="19"/>
                <w:szCs w:val="19"/>
              </w:rPr>
            </w:pPr>
            <w:r w:rsidRPr="003C6A92">
              <w:rPr>
                <w:sz w:val="19"/>
                <w:szCs w:val="19"/>
              </w:rPr>
              <w:t>h. Identify appropriate speakers/champion by July 2016</w:t>
            </w:r>
          </w:p>
        </w:tc>
        <w:tc>
          <w:tcPr>
            <w:tcW w:w="446" w:type="pct"/>
          </w:tcPr>
          <w:p w14:paraId="0C82B400" w14:textId="77777777" w:rsidR="003C6A92" w:rsidRDefault="006F4543" w:rsidP="005A6457">
            <w:pPr>
              <w:spacing w:line="260" w:lineRule="exact"/>
              <w:rPr>
                <w:sz w:val="19"/>
                <w:szCs w:val="19"/>
              </w:rPr>
            </w:pPr>
            <w:r>
              <w:rPr>
                <w:sz w:val="19"/>
                <w:szCs w:val="19"/>
              </w:rPr>
              <w:t>G</w:t>
            </w:r>
          </w:p>
          <w:p w14:paraId="6E69F9A5" w14:textId="77777777" w:rsidR="006F4543" w:rsidRDefault="006F4543" w:rsidP="005A6457">
            <w:pPr>
              <w:spacing w:line="260" w:lineRule="exact"/>
              <w:rPr>
                <w:sz w:val="19"/>
                <w:szCs w:val="19"/>
              </w:rPr>
            </w:pPr>
          </w:p>
          <w:p w14:paraId="729B2999" w14:textId="77777777" w:rsidR="006F4543" w:rsidRDefault="006F4543" w:rsidP="006F4543">
            <w:pPr>
              <w:spacing w:after="0" w:line="260" w:lineRule="exact"/>
              <w:rPr>
                <w:sz w:val="19"/>
                <w:szCs w:val="19"/>
              </w:rPr>
            </w:pPr>
          </w:p>
          <w:p w14:paraId="065C2E35" w14:textId="5B63332C" w:rsidR="006F4543" w:rsidRPr="005E24BF" w:rsidRDefault="006F4543" w:rsidP="006F4543">
            <w:pPr>
              <w:spacing w:after="0" w:line="260" w:lineRule="exact"/>
              <w:rPr>
                <w:sz w:val="19"/>
                <w:szCs w:val="19"/>
              </w:rPr>
            </w:pPr>
            <w:r>
              <w:rPr>
                <w:sz w:val="19"/>
                <w:szCs w:val="19"/>
              </w:rPr>
              <w:t>G</w:t>
            </w:r>
          </w:p>
        </w:tc>
      </w:tr>
      <w:tr w:rsidR="003C6A92" w14:paraId="2FB22B48" w14:textId="77777777" w:rsidTr="009425A6">
        <w:trPr>
          <w:trHeight w:val="87"/>
        </w:trPr>
        <w:tc>
          <w:tcPr>
            <w:tcW w:w="5000" w:type="pct"/>
            <w:gridSpan w:val="6"/>
            <w:vAlign w:val="center"/>
          </w:tcPr>
          <w:p w14:paraId="61EBD75E" w14:textId="0D4014C8" w:rsidR="003C6A92" w:rsidRPr="008754E4" w:rsidRDefault="003C6A92" w:rsidP="00570B22">
            <w:pPr>
              <w:pStyle w:val="GoalLeads"/>
            </w:pPr>
            <w:r w:rsidRPr="00030BB7">
              <w:t xml:space="preserve">Organization/ Lead Person:  </w:t>
            </w:r>
            <w:r w:rsidR="00E055D1" w:rsidRPr="00E055D1">
              <w:t xml:space="preserve">g. Well-respected employer (TBD); h. Rita Wray; Murray Harber, MS Business Group </w:t>
            </w:r>
            <w:r w:rsidR="00570B22">
              <w:t>on Health; Victor Sutton, MSDH</w:t>
            </w:r>
          </w:p>
        </w:tc>
      </w:tr>
      <w:tr w:rsidR="00130E3C" w:rsidRPr="005E24BF" w14:paraId="098BEEE4" w14:textId="77777777" w:rsidTr="00130E3C">
        <w:trPr>
          <w:trHeight w:val="933"/>
        </w:trPr>
        <w:tc>
          <w:tcPr>
            <w:tcW w:w="1208" w:type="pct"/>
          </w:tcPr>
          <w:p w14:paraId="337DC8A4" w14:textId="77777777" w:rsidR="00842258" w:rsidRPr="00AC3A89" w:rsidRDefault="00842258" w:rsidP="00F070BF">
            <w:pPr>
              <w:spacing w:after="100" w:line="260" w:lineRule="exact"/>
              <w:rPr>
                <w:sz w:val="19"/>
                <w:szCs w:val="19"/>
              </w:rPr>
            </w:pPr>
            <w:r w:rsidRPr="00AC3A89">
              <w:rPr>
                <w:sz w:val="19"/>
                <w:szCs w:val="19"/>
              </w:rPr>
              <w:t>Percent of private worksites that have formal employee wellness policies</w:t>
            </w:r>
          </w:p>
          <w:p w14:paraId="49CD8F5B" w14:textId="7B8717E3" w:rsidR="00842258" w:rsidRPr="001C5DD8" w:rsidRDefault="00842258" w:rsidP="002B5755">
            <w:pPr>
              <w:spacing w:after="40" w:line="260" w:lineRule="exact"/>
              <w:rPr>
                <w:sz w:val="19"/>
                <w:szCs w:val="19"/>
              </w:rPr>
            </w:pPr>
            <w:r w:rsidRPr="00AC3A89">
              <w:rPr>
                <w:i/>
                <w:sz w:val="19"/>
                <w:szCs w:val="19"/>
              </w:rPr>
              <w:t>Data Source: Mississippi Worksite Survey</w:t>
            </w:r>
          </w:p>
        </w:tc>
        <w:tc>
          <w:tcPr>
            <w:tcW w:w="446" w:type="pct"/>
          </w:tcPr>
          <w:p w14:paraId="08AC5747" w14:textId="77777777" w:rsidR="00842258" w:rsidRPr="001C5DD8" w:rsidRDefault="00842258" w:rsidP="005A6457">
            <w:pPr>
              <w:spacing w:line="260" w:lineRule="exact"/>
              <w:rPr>
                <w:sz w:val="19"/>
                <w:szCs w:val="19"/>
              </w:rPr>
            </w:pPr>
            <w:r w:rsidRPr="001C5DD8">
              <w:rPr>
                <w:sz w:val="19"/>
                <w:szCs w:val="19"/>
              </w:rPr>
              <w:t>December 31, 2014:</w:t>
            </w:r>
          </w:p>
          <w:p w14:paraId="6E017657" w14:textId="569D035A" w:rsidR="00842258" w:rsidRPr="001C5DD8" w:rsidRDefault="00842258" w:rsidP="00146652">
            <w:pPr>
              <w:spacing w:line="260" w:lineRule="exact"/>
              <w:rPr>
                <w:sz w:val="19"/>
                <w:szCs w:val="19"/>
              </w:rPr>
            </w:pPr>
            <w:r>
              <w:rPr>
                <w:sz w:val="19"/>
                <w:szCs w:val="19"/>
              </w:rPr>
              <w:t>30.8%</w:t>
            </w:r>
          </w:p>
        </w:tc>
        <w:tc>
          <w:tcPr>
            <w:tcW w:w="446" w:type="pct"/>
          </w:tcPr>
          <w:p w14:paraId="4925D11B" w14:textId="2E31673C" w:rsidR="00842258" w:rsidRPr="005E24BF" w:rsidRDefault="00D374C9" w:rsidP="00146652">
            <w:pPr>
              <w:spacing w:line="260" w:lineRule="exact"/>
              <w:rPr>
                <w:sz w:val="19"/>
                <w:szCs w:val="19"/>
              </w:rPr>
            </w:pPr>
            <w:r>
              <w:rPr>
                <w:sz w:val="19"/>
                <w:szCs w:val="19"/>
              </w:rPr>
              <w:t>September 29, 2017</w:t>
            </w:r>
          </w:p>
        </w:tc>
        <w:tc>
          <w:tcPr>
            <w:tcW w:w="446" w:type="pct"/>
          </w:tcPr>
          <w:p w14:paraId="60967540" w14:textId="77777777" w:rsidR="00842258" w:rsidRPr="001C5DD8" w:rsidRDefault="00842258" w:rsidP="005A6457">
            <w:pPr>
              <w:spacing w:line="260" w:lineRule="exact"/>
              <w:rPr>
                <w:sz w:val="19"/>
                <w:szCs w:val="19"/>
              </w:rPr>
            </w:pPr>
            <w:r w:rsidRPr="001C5DD8">
              <w:rPr>
                <w:sz w:val="19"/>
                <w:szCs w:val="19"/>
              </w:rPr>
              <w:t>December 31, 2019:</w:t>
            </w:r>
          </w:p>
          <w:p w14:paraId="4AD3C90E" w14:textId="071D0520" w:rsidR="00842258" w:rsidRPr="001C5DD8" w:rsidRDefault="00842258" w:rsidP="00146652">
            <w:pPr>
              <w:spacing w:line="260" w:lineRule="exact"/>
              <w:rPr>
                <w:sz w:val="19"/>
                <w:szCs w:val="19"/>
              </w:rPr>
            </w:pPr>
            <w:r>
              <w:rPr>
                <w:sz w:val="19"/>
                <w:szCs w:val="19"/>
              </w:rPr>
              <w:t>40.8</w:t>
            </w:r>
            <w:r w:rsidRPr="001C5DD8">
              <w:rPr>
                <w:sz w:val="19"/>
                <w:szCs w:val="19"/>
              </w:rPr>
              <w:t>%</w:t>
            </w:r>
          </w:p>
        </w:tc>
        <w:tc>
          <w:tcPr>
            <w:tcW w:w="2008" w:type="pct"/>
          </w:tcPr>
          <w:p w14:paraId="7F5A4D2D" w14:textId="77777777" w:rsidR="00842258" w:rsidRDefault="00842258" w:rsidP="005A6457">
            <w:pPr>
              <w:spacing w:line="260" w:lineRule="exact"/>
              <w:rPr>
                <w:sz w:val="19"/>
                <w:szCs w:val="19"/>
              </w:rPr>
            </w:pPr>
            <w:r>
              <w:rPr>
                <w:sz w:val="19"/>
                <w:szCs w:val="19"/>
              </w:rPr>
              <w:t>a. Advocate for one policy annually that promotes worksite wellness i.e., MASI – workplace tax credit</w:t>
            </w:r>
          </w:p>
          <w:p w14:paraId="39D50C88" w14:textId="53AC9175" w:rsidR="00842258" w:rsidRPr="003C6A92" w:rsidRDefault="00842258" w:rsidP="00146652">
            <w:pPr>
              <w:spacing w:line="260" w:lineRule="exact"/>
              <w:rPr>
                <w:sz w:val="19"/>
                <w:szCs w:val="19"/>
              </w:rPr>
            </w:pPr>
            <w:r>
              <w:rPr>
                <w:sz w:val="19"/>
                <w:szCs w:val="19"/>
              </w:rPr>
              <w:t>b. Compile sample wellness policies to</w:t>
            </w:r>
            <w:r w:rsidR="00D374C9">
              <w:rPr>
                <w:sz w:val="19"/>
                <w:szCs w:val="19"/>
              </w:rPr>
              <w:t xml:space="preserve"> promote to employers by 12/1/17</w:t>
            </w:r>
            <w:r>
              <w:rPr>
                <w:sz w:val="19"/>
                <w:szCs w:val="19"/>
              </w:rPr>
              <w:t xml:space="preserve"> to place on Uproot website</w:t>
            </w:r>
          </w:p>
        </w:tc>
        <w:tc>
          <w:tcPr>
            <w:tcW w:w="446" w:type="pct"/>
          </w:tcPr>
          <w:p w14:paraId="1653F2DA" w14:textId="77777777" w:rsidR="00842258" w:rsidRDefault="002374BB" w:rsidP="00146652">
            <w:pPr>
              <w:spacing w:line="260" w:lineRule="exact"/>
              <w:rPr>
                <w:sz w:val="19"/>
                <w:szCs w:val="19"/>
              </w:rPr>
            </w:pPr>
            <w:r>
              <w:rPr>
                <w:sz w:val="19"/>
                <w:szCs w:val="19"/>
              </w:rPr>
              <w:t>G</w:t>
            </w:r>
          </w:p>
          <w:p w14:paraId="563D31E4" w14:textId="77777777" w:rsidR="002374BB" w:rsidRDefault="002374BB" w:rsidP="002374BB">
            <w:pPr>
              <w:spacing w:after="0" w:line="260" w:lineRule="exact"/>
              <w:rPr>
                <w:sz w:val="19"/>
                <w:szCs w:val="19"/>
              </w:rPr>
            </w:pPr>
          </w:p>
          <w:p w14:paraId="3D4E8D35" w14:textId="04AFCEE6" w:rsidR="002374BB" w:rsidRPr="005E24BF" w:rsidRDefault="002374BB" w:rsidP="002374BB">
            <w:pPr>
              <w:spacing w:after="0" w:line="260" w:lineRule="exact"/>
              <w:rPr>
                <w:sz w:val="19"/>
                <w:szCs w:val="19"/>
              </w:rPr>
            </w:pPr>
            <w:r>
              <w:rPr>
                <w:sz w:val="19"/>
                <w:szCs w:val="19"/>
              </w:rPr>
              <w:t>G</w:t>
            </w:r>
          </w:p>
        </w:tc>
      </w:tr>
      <w:tr w:rsidR="002B5755" w:rsidRPr="005E24BF" w14:paraId="0A8BC16B" w14:textId="77777777" w:rsidTr="006C3D7E">
        <w:trPr>
          <w:trHeight w:val="168"/>
        </w:trPr>
        <w:tc>
          <w:tcPr>
            <w:tcW w:w="5000" w:type="pct"/>
            <w:gridSpan w:val="6"/>
          </w:tcPr>
          <w:p w14:paraId="14047867" w14:textId="77777777" w:rsidR="002B5755" w:rsidRPr="005E24BF" w:rsidRDefault="002B5755" w:rsidP="006C3D7E">
            <w:pPr>
              <w:pStyle w:val="GoalLeads"/>
              <w:rPr>
                <w:sz w:val="19"/>
                <w:szCs w:val="19"/>
              </w:rPr>
            </w:pPr>
            <w:r w:rsidRPr="00030BB7">
              <w:t xml:space="preserve">Organization/ Lead Person:  </w:t>
            </w:r>
            <w:r>
              <w:t xml:space="preserve">a. </w:t>
            </w:r>
            <w:r>
              <w:tab/>
              <w:t>Kay Henry, MSDH; Victor Sutton, MSDH; Murray Harber, MS Business Group on Health; b. Brad Martin Murray Harber</w:t>
            </w:r>
          </w:p>
        </w:tc>
      </w:tr>
      <w:tr w:rsidR="00130E3C" w:rsidRPr="005E24BF" w14:paraId="3E282AFD" w14:textId="77777777" w:rsidTr="00130E3C">
        <w:trPr>
          <w:trHeight w:val="996"/>
        </w:trPr>
        <w:tc>
          <w:tcPr>
            <w:tcW w:w="1208" w:type="pct"/>
          </w:tcPr>
          <w:p w14:paraId="6DC41682" w14:textId="77777777" w:rsidR="002B5755" w:rsidRPr="003C6A92" w:rsidRDefault="002B5755" w:rsidP="00F070BF">
            <w:pPr>
              <w:spacing w:after="100" w:line="260" w:lineRule="exact"/>
              <w:rPr>
                <w:sz w:val="19"/>
                <w:szCs w:val="19"/>
              </w:rPr>
            </w:pPr>
            <w:r w:rsidRPr="003C6A92">
              <w:rPr>
                <w:sz w:val="19"/>
                <w:szCs w:val="19"/>
              </w:rPr>
              <w:t>Percent of private worksites that provide healthy alternatives in vending machines</w:t>
            </w:r>
          </w:p>
          <w:p w14:paraId="16A0759C" w14:textId="77777777" w:rsidR="002B5755" w:rsidRPr="009425A6" w:rsidRDefault="002B5755" w:rsidP="002B5755">
            <w:pPr>
              <w:spacing w:after="40" w:line="260" w:lineRule="exact"/>
              <w:rPr>
                <w:i/>
                <w:sz w:val="19"/>
                <w:szCs w:val="19"/>
              </w:rPr>
            </w:pPr>
            <w:r>
              <w:rPr>
                <w:i/>
                <w:sz w:val="19"/>
                <w:szCs w:val="19"/>
              </w:rPr>
              <w:t xml:space="preserve">Data Source: </w:t>
            </w:r>
            <w:r w:rsidRPr="003C6A92">
              <w:rPr>
                <w:i/>
                <w:sz w:val="19"/>
                <w:szCs w:val="19"/>
              </w:rPr>
              <w:t>Mississippi Worksite Survey</w:t>
            </w:r>
          </w:p>
        </w:tc>
        <w:tc>
          <w:tcPr>
            <w:tcW w:w="446" w:type="pct"/>
          </w:tcPr>
          <w:p w14:paraId="24CCA93B" w14:textId="77777777" w:rsidR="002B5755" w:rsidRPr="001C5DD8" w:rsidRDefault="002B5755" w:rsidP="006C2BEB">
            <w:pPr>
              <w:spacing w:line="260" w:lineRule="exact"/>
              <w:rPr>
                <w:sz w:val="19"/>
                <w:szCs w:val="19"/>
              </w:rPr>
            </w:pPr>
            <w:r w:rsidRPr="001C5DD8">
              <w:rPr>
                <w:sz w:val="19"/>
                <w:szCs w:val="19"/>
              </w:rPr>
              <w:t>December 31, 2014:</w:t>
            </w:r>
          </w:p>
          <w:p w14:paraId="5A8501D1" w14:textId="77777777" w:rsidR="002B5755" w:rsidRPr="001C5DD8" w:rsidRDefault="002B5755" w:rsidP="006C2BEB">
            <w:pPr>
              <w:spacing w:line="260" w:lineRule="exact"/>
              <w:rPr>
                <w:sz w:val="19"/>
                <w:szCs w:val="19"/>
              </w:rPr>
            </w:pPr>
            <w:r>
              <w:rPr>
                <w:sz w:val="19"/>
                <w:szCs w:val="19"/>
              </w:rPr>
              <w:t>41.7%</w:t>
            </w:r>
          </w:p>
        </w:tc>
        <w:tc>
          <w:tcPr>
            <w:tcW w:w="446" w:type="pct"/>
          </w:tcPr>
          <w:p w14:paraId="3BA39068" w14:textId="42248ED1" w:rsidR="002B5755" w:rsidRPr="005E24BF" w:rsidRDefault="00D374C9" w:rsidP="006C2BEB">
            <w:pPr>
              <w:spacing w:line="260" w:lineRule="exact"/>
              <w:rPr>
                <w:sz w:val="19"/>
                <w:szCs w:val="19"/>
              </w:rPr>
            </w:pPr>
            <w:r>
              <w:rPr>
                <w:sz w:val="19"/>
                <w:szCs w:val="19"/>
              </w:rPr>
              <w:t>September 29, 2017</w:t>
            </w:r>
          </w:p>
        </w:tc>
        <w:tc>
          <w:tcPr>
            <w:tcW w:w="446" w:type="pct"/>
          </w:tcPr>
          <w:p w14:paraId="0CE7CBB0" w14:textId="77777777" w:rsidR="002B5755" w:rsidRPr="001C5DD8" w:rsidRDefault="002B5755" w:rsidP="006C2BEB">
            <w:pPr>
              <w:spacing w:line="260" w:lineRule="exact"/>
              <w:rPr>
                <w:sz w:val="19"/>
                <w:szCs w:val="19"/>
              </w:rPr>
            </w:pPr>
            <w:r w:rsidRPr="001C5DD8">
              <w:rPr>
                <w:sz w:val="19"/>
                <w:szCs w:val="19"/>
              </w:rPr>
              <w:t>December 31, 2014:</w:t>
            </w:r>
          </w:p>
          <w:p w14:paraId="337DD39D" w14:textId="77777777" w:rsidR="002B5755" w:rsidRPr="001C5DD8" w:rsidRDefault="002B5755" w:rsidP="006C2BEB">
            <w:pPr>
              <w:spacing w:line="260" w:lineRule="exact"/>
              <w:rPr>
                <w:sz w:val="19"/>
                <w:szCs w:val="19"/>
              </w:rPr>
            </w:pPr>
            <w:r>
              <w:rPr>
                <w:sz w:val="19"/>
                <w:szCs w:val="19"/>
              </w:rPr>
              <w:t>56.7%</w:t>
            </w:r>
          </w:p>
        </w:tc>
        <w:tc>
          <w:tcPr>
            <w:tcW w:w="2008" w:type="pct"/>
          </w:tcPr>
          <w:p w14:paraId="7D2BFC1B" w14:textId="77777777" w:rsidR="002B5755" w:rsidRDefault="002B5755" w:rsidP="006C2BEB">
            <w:pPr>
              <w:spacing w:line="260" w:lineRule="exact"/>
              <w:rPr>
                <w:sz w:val="19"/>
                <w:szCs w:val="19"/>
              </w:rPr>
            </w:pPr>
            <w:r>
              <w:rPr>
                <w:sz w:val="19"/>
                <w:szCs w:val="19"/>
              </w:rPr>
              <w:t>a. Promote healthy vending programs to worksite</w:t>
            </w:r>
          </w:p>
        </w:tc>
        <w:tc>
          <w:tcPr>
            <w:tcW w:w="446" w:type="pct"/>
          </w:tcPr>
          <w:p w14:paraId="1B73A25B" w14:textId="5D4C2747" w:rsidR="002B5755" w:rsidRPr="005E24BF" w:rsidRDefault="002374BB" w:rsidP="006C2BEB">
            <w:pPr>
              <w:spacing w:line="260" w:lineRule="exact"/>
              <w:rPr>
                <w:sz w:val="19"/>
                <w:szCs w:val="19"/>
              </w:rPr>
            </w:pPr>
            <w:r>
              <w:rPr>
                <w:sz w:val="19"/>
                <w:szCs w:val="19"/>
              </w:rPr>
              <w:t>G</w:t>
            </w:r>
          </w:p>
        </w:tc>
      </w:tr>
      <w:tr w:rsidR="002B5755" w:rsidRPr="005E24BF" w14:paraId="52143188" w14:textId="77777777" w:rsidTr="006C2BEB">
        <w:trPr>
          <w:trHeight w:val="105"/>
        </w:trPr>
        <w:tc>
          <w:tcPr>
            <w:tcW w:w="5000" w:type="pct"/>
            <w:gridSpan w:val="6"/>
          </w:tcPr>
          <w:p w14:paraId="26061303" w14:textId="77777777" w:rsidR="002B5755" w:rsidRPr="005E24BF" w:rsidRDefault="002B5755" w:rsidP="006C2BEB">
            <w:pPr>
              <w:pStyle w:val="GoalLeads"/>
              <w:rPr>
                <w:sz w:val="19"/>
                <w:szCs w:val="19"/>
              </w:rPr>
            </w:pPr>
            <w:r w:rsidRPr="00030BB7">
              <w:t xml:space="preserve">Organization/ Lead Person:  </w:t>
            </w:r>
            <w:r>
              <w:t xml:space="preserve">a. </w:t>
            </w:r>
            <w:r>
              <w:tab/>
              <w:t>Katherine Bryant</w:t>
            </w:r>
          </w:p>
        </w:tc>
      </w:tr>
      <w:tr w:rsidR="00130E3C" w:rsidRPr="005E24BF" w14:paraId="22477EDF" w14:textId="77777777" w:rsidTr="00130E3C">
        <w:trPr>
          <w:trHeight w:val="1428"/>
        </w:trPr>
        <w:tc>
          <w:tcPr>
            <w:tcW w:w="1208" w:type="pct"/>
          </w:tcPr>
          <w:p w14:paraId="7E4DDA0F" w14:textId="77777777" w:rsidR="002B5755" w:rsidRPr="00CE5DF5" w:rsidRDefault="002B5755" w:rsidP="00F070BF">
            <w:pPr>
              <w:spacing w:after="40" w:line="260" w:lineRule="exact"/>
              <w:rPr>
                <w:sz w:val="19"/>
                <w:szCs w:val="19"/>
              </w:rPr>
            </w:pPr>
            <w:r w:rsidRPr="00CE5DF5">
              <w:rPr>
                <w:sz w:val="19"/>
                <w:szCs w:val="19"/>
              </w:rPr>
              <w:t>Percent of private worksites that offer lactation support for breastfeeding mothers, including time and a private, sanitary space to pump milk at work</w:t>
            </w:r>
          </w:p>
          <w:p w14:paraId="0BB36C2F" w14:textId="465B562C" w:rsidR="002B5755" w:rsidRPr="00FC1F10" w:rsidRDefault="00F070BF" w:rsidP="00F070BF">
            <w:pPr>
              <w:spacing w:after="40" w:line="260" w:lineRule="exact"/>
              <w:rPr>
                <w:i/>
                <w:sz w:val="19"/>
                <w:szCs w:val="19"/>
              </w:rPr>
            </w:pPr>
            <w:r>
              <w:rPr>
                <w:i/>
                <w:sz w:val="19"/>
                <w:szCs w:val="19"/>
              </w:rPr>
              <w:t xml:space="preserve">Data Source: </w:t>
            </w:r>
            <w:r w:rsidR="002B5755" w:rsidRPr="00CE5DF5">
              <w:rPr>
                <w:i/>
                <w:sz w:val="19"/>
                <w:szCs w:val="19"/>
              </w:rPr>
              <w:t>Mississippi Worksite Survey</w:t>
            </w:r>
          </w:p>
        </w:tc>
        <w:tc>
          <w:tcPr>
            <w:tcW w:w="446" w:type="pct"/>
          </w:tcPr>
          <w:p w14:paraId="7D4A0EED" w14:textId="77777777" w:rsidR="002B5755" w:rsidRPr="00D541E4" w:rsidRDefault="002B5755" w:rsidP="00E73626">
            <w:pPr>
              <w:spacing w:line="260" w:lineRule="exact"/>
              <w:rPr>
                <w:sz w:val="19"/>
                <w:szCs w:val="19"/>
              </w:rPr>
            </w:pPr>
            <w:r w:rsidRPr="00D541E4">
              <w:rPr>
                <w:sz w:val="19"/>
                <w:szCs w:val="19"/>
              </w:rPr>
              <w:t xml:space="preserve">December 31, 2014:  </w:t>
            </w:r>
          </w:p>
          <w:p w14:paraId="1D2BA1B8" w14:textId="77777777" w:rsidR="002B5755" w:rsidRPr="00D541E4" w:rsidRDefault="002B5755" w:rsidP="00E73626">
            <w:pPr>
              <w:spacing w:line="260" w:lineRule="exact"/>
              <w:rPr>
                <w:sz w:val="19"/>
                <w:szCs w:val="19"/>
              </w:rPr>
            </w:pPr>
            <w:r>
              <w:rPr>
                <w:sz w:val="19"/>
                <w:szCs w:val="19"/>
              </w:rPr>
              <w:t>36.6%</w:t>
            </w:r>
          </w:p>
        </w:tc>
        <w:tc>
          <w:tcPr>
            <w:tcW w:w="446" w:type="pct"/>
          </w:tcPr>
          <w:p w14:paraId="2DE7E0FE" w14:textId="64E23C3A" w:rsidR="002B5755" w:rsidRPr="005E24BF" w:rsidRDefault="00D374C9" w:rsidP="00E73626">
            <w:pPr>
              <w:spacing w:line="260" w:lineRule="exact"/>
              <w:rPr>
                <w:sz w:val="19"/>
                <w:szCs w:val="19"/>
              </w:rPr>
            </w:pPr>
            <w:r>
              <w:rPr>
                <w:sz w:val="19"/>
                <w:szCs w:val="19"/>
              </w:rPr>
              <w:t>September 29, 2017</w:t>
            </w:r>
          </w:p>
        </w:tc>
        <w:tc>
          <w:tcPr>
            <w:tcW w:w="446" w:type="pct"/>
          </w:tcPr>
          <w:p w14:paraId="33AF3F40" w14:textId="77777777" w:rsidR="002B5755" w:rsidRPr="00D541E4" w:rsidRDefault="002B5755" w:rsidP="00E73626">
            <w:pPr>
              <w:spacing w:line="260" w:lineRule="exact"/>
              <w:rPr>
                <w:sz w:val="19"/>
                <w:szCs w:val="19"/>
              </w:rPr>
            </w:pPr>
            <w:r w:rsidRPr="00D541E4">
              <w:rPr>
                <w:sz w:val="19"/>
                <w:szCs w:val="19"/>
              </w:rPr>
              <w:t>December 31, 2019:</w:t>
            </w:r>
          </w:p>
          <w:p w14:paraId="651A3EF5" w14:textId="77777777" w:rsidR="002B5755" w:rsidRPr="00D541E4" w:rsidRDefault="002B5755" w:rsidP="00E73626">
            <w:pPr>
              <w:spacing w:line="260" w:lineRule="exact"/>
              <w:rPr>
                <w:sz w:val="19"/>
                <w:szCs w:val="19"/>
              </w:rPr>
            </w:pPr>
            <w:r>
              <w:rPr>
                <w:sz w:val="19"/>
                <w:szCs w:val="19"/>
              </w:rPr>
              <w:t>46.6%</w:t>
            </w:r>
          </w:p>
        </w:tc>
        <w:tc>
          <w:tcPr>
            <w:tcW w:w="2008" w:type="pct"/>
          </w:tcPr>
          <w:p w14:paraId="3AEE2C7F" w14:textId="42772CD3" w:rsidR="002B5755" w:rsidRDefault="002B5755" w:rsidP="00E73626">
            <w:pPr>
              <w:spacing w:line="260" w:lineRule="exact"/>
              <w:rPr>
                <w:sz w:val="19"/>
                <w:szCs w:val="19"/>
              </w:rPr>
            </w:pPr>
            <w:r>
              <w:rPr>
                <w:sz w:val="19"/>
                <w:szCs w:val="19"/>
              </w:rPr>
              <w:t xml:space="preserve">a. Compile lactation best practices and place on Uproot website by </w:t>
            </w:r>
            <w:r w:rsidR="00D374C9">
              <w:rPr>
                <w:sz w:val="19"/>
                <w:szCs w:val="19"/>
              </w:rPr>
              <w:t>12/1/17</w:t>
            </w:r>
          </w:p>
        </w:tc>
        <w:tc>
          <w:tcPr>
            <w:tcW w:w="446" w:type="pct"/>
          </w:tcPr>
          <w:p w14:paraId="5E2DE8C4" w14:textId="10A99408" w:rsidR="002B5755" w:rsidRPr="005E24BF" w:rsidRDefault="00D374C9" w:rsidP="00E73626">
            <w:pPr>
              <w:spacing w:line="260" w:lineRule="exact"/>
              <w:rPr>
                <w:sz w:val="19"/>
                <w:szCs w:val="19"/>
              </w:rPr>
            </w:pPr>
            <w:r>
              <w:rPr>
                <w:sz w:val="19"/>
                <w:szCs w:val="19"/>
              </w:rPr>
              <w:t>G</w:t>
            </w:r>
          </w:p>
        </w:tc>
      </w:tr>
      <w:tr w:rsidR="002B5755" w:rsidRPr="005E24BF" w14:paraId="0A78FEAF" w14:textId="77777777" w:rsidTr="00E73626">
        <w:trPr>
          <w:trHeight w:val="105"/>
        </w:trPr>
        <w:tc>
          <w:tcPr>
            <w:tcW w:w="5000" w:type="pct"/>
            <w:gridSpan w:val="6"/>
          </w:tcPr>
          <w:p w14:paraId="2BDAF86C" w14:textId="77777777" w:rsidR="002B5755" w:rsidRPr="005E24BF" w:rsidRDefault="002B5755" w:rsidP="00E73626">
            <w:pPr>
              <w:pStyle w:val="GoalLeads"/>
              <w:rPr>
                <w:sz w:val="19"/>
                <w:szCs w:val="19"/>
              </w:rPr>
            </w:pPr>
            <w:r w:rsidRPr="00030BB7">
              <w:t xml:space="preserve">Organization/ Lead Person:  </w:t>
            </w:r>
            <w:r>
              <w:t>a. Brad Martin</w:t>
            </w:r>
          </w:p>
        </w:tc>
      </w:tr>
    </w:tbl>
    <w:p w14:paraId="5351A020" w14:textId="5463D169" w:rsidR="00AD648E" w:rsidRDefault="00AD648E" w:rsidP="00AD648E"/>
    <w:p w14:paraId="61EA4285" w14:textId="77777777" w:rsidR="00F070BF" w:rsidRDefault="00F070BF" w:rsidP="00F070BF">
      <w:pPr>
        <w:pStyle w:val="H3Green"/>
      </w:pPr>
      <w:r>
        <w:t xml:space="preserve">APPENDIX O: </w:t>
      </w:r>
      <w:r w:rsidRPr="00D60B29">
        <w:t>Mississippi State Community Scorecard – 2016</w:t>
      </w:r>
      <w:r>
        <w:br/>
        <w:t>PRIORITY AREA #4:</w:t>
      </w:r>
      <w:r w:rsidRPr="00D60B29">
        <w:t xml:space="preserve"> </w:t>
      </w:r>
      <w:r>
        <w:t>Create a Culture of Health</w:t>
      </w:r>
    </w:p>
    <w:p w14:paraId="7306DACE" w14:textId="77777777" w:rsidR="00F070BF" w:rsidRDefault="00F070BF" w:rsidP="00F070BF">
      <w:pPr>
        <w:pStyle w:val="H3Blue"/>
      </w:pPr>
      <w:r>
        <w:t>Goal 4</w:t>
      </w:r>
      <w:r w:rsidRPr="001103DF">
        <w:t xml:space="preserve">.1 </w:t>
      </w:r>
      <w:r>
        <w:t>Improve the culture of health in Mississippi workplaces</w:t>
      </w:r>
    </w:p>
    <w:p w14:paraId="09F39D68" w14:textId="7FD09C61" w:rsidR="00F070BF" w:rsidRDefault="00F070BF" w:rsidP="00AD648E">
      <w:r w:rsidRPr="001C5DD8">
        <w:rPr>
          <w:b/>
        </w:rPr>
        <w:t xml:space="preserve">Strategic Objective 4.1.1 </w:t>
      </w:r>
      <w:r w:rsidRPr="001C5DD8">
        <w:t>Increase the number of Mississippi worksites that offer employee wellness programs</w:t>
      </w:r>
      <w:r w:rsidRPr="001C5DD8">
        <w:rPr>
          <w:b/>
        </w:rPr>
        <w:t xml:space="preserve">  </w:t>
      </w:r>
    </w:p>
    <w:tbl>
      <w:tblPr>
        <w:tblStyle w:val="TableGrid"/>
        <w:tblW w:w="4913"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ayout w:type="fixed"/>
        <w:tblCellMar>
          <w:left w:w="115" w:type="dxa"/>
          <w:right w:w="115" w:type="dxa"/>
        </w:tblCellMar>
        <w:tblLook w:val="04A0" w:firstRow="1" w:lastRow="0" w:firstColumn="1" w:lastColumn="0" w:noHBand="0" w:noVBand="1"/>
      </w:tblPr>
      <w:tblGrid>
        <w:gridCol w:w="3092"/>
        <w:gridCol w:w="1302"/>
        <w:gridCol w:w="46"/>
        <w:gridCol w:w="40"/>
        <w:gridCol w:w="1311"/>
        <w:gridCol w:w="1259"/>
        <w:gridCol w:w="5954"/>
        <w:gridCol w:w="1371"/>
      </w:tblGrid>
      <w:tr w:rsidR="00D75C51" w14:paraId="721BC851" w14:textId="77777777" w:rsidTr="00D374C9">
        <w:trPr>
          <w:trHeight w:val="591"/>
        </w:trPr>
        <w:tc>
          <w:tcPr>
            <w:tcW w:w="1075" w:type="pct"/>
            <w:tcBorders>
              <w:right w:val="single" w:sz="12" w:space="0" w:color="FFFFFF" w:themeColor="background1"/>
            </w:tcBorders>
            <w:shd w:val="clear" w:color="auto" w:fill="F3F5E2"/>
            <w:vAlign w:val="center"/>
          </w:tcPr>
          <w:p w14:paraId="7D78D173" w14:textId="77777777" w:rsidR="00AD648E" w:rsidRPr="00042B28" w:rsidRDefault="00AD648E" w:rsidP="005A6457">
            <w:pPr>
              <w:spacing w:after="0"/>
              <w:rPr>
                <w:b/>
                <w:color w:val="F57757"/>
                <w:szCs w:val="20"/>
              </w:rPr>
            </w:pPr>
            <w:r w:rsidRPr="00042B28">
              <w:rPr>
                <w:b/>
                <w:color w:val="F57757"/>
                <w:szCs w:val="20"/>
              </w:rPr>
              <w:t>Measure</w:t>
            </w:r>
          </w:p>
        </w:tc>
        <w:tc>
          <w:tcPr>
            <w:tcW w:w="453" w:type="pct"/>
            <w:tcBorders>
              <w:left w:val="single" w:sz="12" w:space="0" w:color="FFFFFF" w:themeColor="background1"/>
              <w:right w:val="single" w:sz="12" w:space="0" w:color="FFFFFF" w:themeColor="background1"/>
            </w:tcBorders>
            <w:shd w:val="clear" w:color="auto" w:fill="F3F5E2"/>
            <w:vAlign w:val="center"/>
          </w:tcPr>
          <w:p w14:paraId="1F082336" w14:textId="77777777" w:rsidR="00AD648E" w:rsidRPr="008C3C4D" w:rsidRDefault="00AD648E" w:rsidP="005A6457">
            <w:pPr>
              <w:spacing w:after="0"/>
              <w:ind w:left="-280" w:firstLine="270"/>
              <w:rPr>
                <w:b/>
                <w:color w:val="F57757"/>
                <w:szCs w:val="20"/>
              </w:rPr>
            </w:pPr>
            <w:r w:rsidRPr="008C3C4D">
              <w:rPr>
                <w:b/>
                <w:color w:val="F57757"/>
                <w:szCs w:val="20"/>
              </w:rPr>
              <w:t>Baseline</w:t>
            </w:r>
          </w:p>
        </w:tc>
        <w:tc>
          <w:tcPr>
            <w:tcW w:w="486" w:type="pct"/>
            <w:gridSpan w:val="3"/>
            <w:tcBorders>
              <w:left w:val="single" w:sz="12" w:space="0" w:color="FFFFFF" w:themeColor="background1"/>
              <w:right w:val="single" w:sz="12" w:space="0" w:color="FFFFFF" w:themeColor="background1"/>
            </w:tcBorders>
            <w:shd w:val="clear" w:color="auto" w:fill="F3F5E2"/>
            <w:vAlign w:val="center"/>
          </w:tcPr>
          <w:p w14:paraId="163BA0F7" w14:textId="77777777" w:rsidR="00AD648E" w:rsidRPr="008C3C4D" w:rsidRDefault="00AD648E" w:rsidP="005A6457">
            <w:pPr>
              <w:spacing w:after="0" w:line="240" w:lineRule="auto"/>
              <w:rPr>
                <w:b/>
                <w:color w:val="F57757"/>
                <w:szCs w:val="20"/>
              </w:rPr>
            </w:pPr>
            <w:r>
              <w:rPr>
                <w:b/>
                <w:color w:val="F57757"/>
                <w:szCs w:val="20"/>
              </w:rPr>
              <w:t>Current/</w:t>
            </w:r>
            <w:r>
              <w:rPr>
                <w:b/>
                <w:color w:val="F57757"/>
                <w:szCs w:val="20"/>
              </w:rPr>
              <w:br/>
              <w:t>Date</w:t>
            </w:r>
          </w:p>
        </w:tc>
        <w:tc>
          <w:tcPr>
            <w:tcW w:w="438" w:type="pct"/>
            <w:tcBorders>
              <w:left w:val="single" w:sz="12" w:space="0" w:color="FFFFFF" w:themeColor="background1"/>
              <w:right w:val="single" w:sz="12" w:space="0" w:color="FFFFFF" w:themeColor="background1"/>
            </w:tcBorders>
            <w:shd w:val="clear" w:color="auto" w:fill="F3F5E2"/>
            <w:vAlign w:val="center"/>
          </w:tcPr>
          <w:p w14:paraId="089AEF1D" w14:textId="77777777" w:rsidR="00AD648E" w:rsidRPr="008C3C4D" w:rsidRDefault="00AD648E" w:rsidP="005A6457">
            <w:pPr>
              <w:spacing w:after="0"/>
              <w:rPr>
                <w:b/>
                <w:color w:val="F57757"/>
                <w:szCs w:val="20"/>
              </w:rPr>
            </w:pPr>
            <w:r w:rsidRPr="008C3C4D">
              <w:rPr>
                <w:b/>
                <w:color w:val="F57757"/>
                <w:szCs w:val="20"/>
              </w:rPr>
              <w:t>Target</w:t>
            </w:r>
          </w:p>
        </w:tc>
        <w:tc>
          <w:tcPr>
            <w:tcW w:w="2071" w:type="pct"/>
            <w:tcBorders>
              <w:left w:val="single" w:sz="12" w:space="0" w:color="FFFFFF" w:themeColor="background1"/>
              <w:right w:val="single" w:sz="12" w:space="0" w:color="FFFFFF"/>
            </w:tcBorders>
            <w:shd w:val="clear" w:color="auto" w:fill="F3F5E2"/>
            <w:vAlign w:val="center"/>
          </w:tcPr>
          <w:p w14:paraId="3AD3D4AC" w14:textId="77777777" w:rsidR="00AD648E" w:rsidRPr="00042B28" w:rsidRDefault="00AD648E" w:rsidP="005A6457">
            <w:pPr>
              <w:spacing w:after="0"/>
              <w:rPr>
                <w:b/>
                <w:color w:val="F57757"/>
                <w:szCs w:val="20"/>
              </w:rPr>
            </w:pPr>
            <w:r w:rsidRPr="00042B28">
              <w:rPr>
                <w:b/>
                <w:color w:val="F57757"/>
                <w:szCs w:val="20"/>
              </w:rPr>
              <w:t>Critical Actions/Intervention Strategies</w:t>
            </w:r>
          </w:p>
        </w:tc>
        <w:tc>
          <w:tcPr>
            <w:tcW w:w="477" w:type="pct"/>
            <w:tcBorders>
              <w:left w:val="single" w:sz="12" w:space="0" w:color="FFFFFF"/>
            </w:tcBorders>
            <w:shd w:val="clear" w:color="auto" w:fill="F3F5E2"/>
            <w:vAlign w:val="center"/>
          </w:tcPr>
          <w:p w14:paraId="6B92999B" w14:textId="77777777" w:rsidR="00AD648E" w:rsidRPr="00042B28" w:rsidRDefault="00AD648E" w:rsidP="005A6457">
            <w:pPr>
              <w:spacing w:after="0" w:line="240" w:lineRule="auto"/>
              <w:rPr>
                <w:b/>
                <w:color w:val="F57757"/>
                <w:szCs w:val="20"/>
              </w:rPr>
            </w:pPr>
            <w:r w:rsidRPr="00042B28">
              <w:rPr>
                <w:b/>
                <w:color w:val="F57757"/>
                <w:szCs w:val="20"/>
              </w:rPr>
              <w:t>Status</w:t>
            </w:r>
            <w:r w:rsidRPr="00042B28">
              <w:rPr>
                <w:b/>
                <w:color w:val="F57757"/>
                <w:szCs w:val="20"/>
              </w:rPr>
              <w:br/>
              <w:t>R/Y/G</w:t>
            </w:r>
          </w:p>
        </w:tc>
      </w:tr>
      <w:tr w:rsidR="00D75C51" w14:paraId="48B7D196" w14:textId="77777777" w:rsidTr="00D374C9">
        <w:trPr>
          <w:trHeight w:val="1428"/>
        </w:trPr>
        <w:tc>
          <w:tcPr>
            <w:tcW w:w="1075" w:type="pct"/>
          </w:tcPr>
          <w:p w14:paraId="6B78C9F7" w14:textId="77777777" w:rsidR="00351482" w:rsidRPr="007F6BBB" w:rsidRDefault="00351482" w:rsidP="00A35E6A">
            <w:pPr>
              <w:spacing w:after="120" w:line="260" w:lineRule="exact"/>
              <w:rPr>
                <w:sz w:val="19"/>
                <w:szCs w:val="19"/>
              </w:rPr>
            </w:pPr>
            <w:r w:rsidRPr="007F6BBB">
              <w:rPr>
                <w:sz w:val="19"/>
                <w:szCs w:val="19"/>
              </w:rPr>
              <w:t>Percent of private worksites reporting that more than 50% of employees participate in a health and wellness program in the past 12 months</w:t>
            </w:r>
          </w:p>
          <w:p w14:paraId="1546E714" w14:textId="6B200BFD" w:rsidR="00351482" w:rsidRPr="00351482" w:rsidRDefault="00351482" w:rsidP="007F6BBB">
            <w:pPr>
              <w:spacing w:after="40" w:line="260" w:lineRule="exact"/>
              <w:rPr>
                <w:i/>
                <w:sz w:val="19"/>
                <w:szCs w:val="19"/>
              </w:rPr>
            </w:pPr>
            <w:r w:rsidRPr="007F6BBB">
              <w:rPr>
                <w:i/>
                <w:sz w:val="19"/>
                <w:szCs w:val="19"/>
              </w:rPr>
              <w:t>Data Source:  Mississippi Worksite Survey</w:t>
            </w:r>
          </w:p>
        </w:tc>
        <w:tc>
          <w:tcPr>
            <w:tcW w:w="469" w:type="pct"/>
            <w:gridSpan w:val="2"/>
          </w:tcPr>
          <w:p w14:paraId="6CD89DFD" w14:textId="77777777" w:rsidR="00351482" w:rsidRPr="00D541E4" w:rsidRDefault="00351482" w:rsidP="00351482">
            <w:pPr>
              <w:spacing w:line="260" w:lineRule="exact"/>
              <w:rPr>
                <w:sz w:val="19"/>
                <w:szCs w:val="19"/>
              </w:rPr>
            </w:pPr>
            <w:r w:rsidRPr="00D541E4">
              <w:rPr>
                <w:sz w:val="19"/>
                <w:szCs w:val="19"/>
              </w:rPr>
              <w:t xml:space="preserve">December 31, 2014:  </w:t>
            </w:r>
          </w:p>
          <w:p w14:paraId="5C1B9C64" w14:textId="0D9C5011" w:rsidR="00351482" w:rsidRPr="00D541E4" w:rsidRDefault="00351482" w:rsidP="007F6BBB">
            <w:pPr>
              <w:spacing w:line="260" w:lineRule="exact"/>
              <w:rPr>
                <w:sz w:val="19"/>
                <w:szCs w:val="19"/>
              </w:rPr>
            </w:pPr>
            <w:r>
              <w:rPr>
                <w:sz w:val="19"/>
                <w:szCs w:val="19"/>
              </w:rPr>
              <w:t>55.8</w:t>
            </w:r>
            <w:r w:rsidRPr="00D541E4">
              <w:rPr>
                <w:sz w:val="19"/>
                <w:szCs w:val="19"/>
              </w:rPr>
              <w:t>%</w:t>
            </w:r>
          </w:p>
        </w:tc>
        <w:tc>
          <w:tcPr>
            <w:tcW w:w="470" w:type="pct"/>
            <w:gridSpan w:val="2"/>
          </w:tcPr>
          <w:p w14:paraId="2A4B9606" w14:textId="29AA5DEC" w:rsidR="00351482" w:rsidRPr="005E24BF" w:rsidRDefault="00D374C9" w:rsidP="005A6457">
            <w:pPr>
              <w:spacing w:line="260" w:lineRule="exact"/>
              <w:rPr>
                <w:sz w:val="19"/>
                <w:szCs w:val="19"/>
              </w:rPr>
            </w:pPr>
            <w:r>
              <w:rPr>
                <w:sz w:val="19"/>
                <w:szCs w:val="19"/>
              </w:rPr>
              <w:t>September 29, 2017</w:t>
            </w:r>
          </w:p>
        </w:tc>
        <w:tc>
          <w:tcPr>
            <w:tcW w:w="438" w:type="pct"/>
          </w:tcPr>
          <w:p w14:paraId="42D08AC1" w14:textId="77777777" w:rsidR="00351482" w:rsidRPr="00D541E4" w:rsidRDefault="00351482" w:rsidP="00351482">
            <w:pPr>
              <w:spacing w:line="260" w:lineRule="exact"/>
              <w:rPr>
                <w:sz w:val="19"/>
                <w:szCs w:val="19"/>
              </w:rPr>
            </w:pPr>
            <w:r w:rsidRPr="00D541E4">
              <w:rPr>
                <w:sz w:val="19"/>
                <w:szCs w:val="19"/>
              </w:rPr>
              <w:t>December 31, 2019:</w:t>
            </w:r>
          </w:p>
          <w:p w14:paraId="30C73B06" w14:textId="106DB3F8" w:rsidR="00351482" w:rsidRPr="00D541E4" w:rsidRDefault="00351482" w:rsidP="007F6BBB">
            <w:pPr>
              <w:spacing w:line="260" w:lineRule="exact"/>
              <w:rPr>
                <w:sz w:val="19"/>
                <w:szCs w:val="19"/>
              </w:rPr>
            </w:pPr>
            <w:r>
              <w:rPr>
                <w:sz w:val="19"/>
                <w:szCs w:val="19"/>
              </w:rPr>
              <w:t>65.8%</w:t>
            </w:r>
          </w:p>
        </w:tc>
        <w:tc>
          <w:tcPr>
            <w:tcW w:w="2071" w:type="pct"/>
          </w:tcPr>
          <w:p w14:paraId="66301CA9" w14:textId="7698BDEE" w:rsidR="00351482" w:rsidRDefault="00351482" w:rsidP="005A6457">
            <w:pPr>
              <w:spacing w:line="260" w:lineRule="exact"/>
              <w:rPr>
                <w:sz w:val="19"/>
                <w:szCs w:val="19"/>
              </w:rPr>
            </w:pPr>
            <w:r>
              <w:rPr>
                <w:sz w:val="19"/>
                <w:szCs w:val="19"/>
              </w:rPr>
              <w:t>a. Compile top five wellness programs available to private worksites and place on</w:t>
            </w:r>
            <w:r w:rsidR="00D374C9">
              <w:rPr>
                <w:sz w:val="19"/>
                <w:szCs w:val="19"/>
              </w:rPr>
              <w:t xml:space="preserve"> Uproot website by 12/1/17</w:t>
            </w:r>
          </w:p>
        </w:tc>
        <w:tc>
          <w:tcPr>
            <w:tcW w:w="477" w:type="pct"/>
          </w:tcPr>
          <w:p w14:paraId="5EC8642C" w14:textId="3CE1BDBF" w:rsidR="00351482" w:rsidRPr="005E24BF" w:rsidRDefault="002374BB" w:rsidP="005A6457">
            <w:pPr>
              <w:spacing w:line="260" w:lineRule="exact"/>
              <w:rPr>
                <w:sz w:val="19"/>
                <w:szCs w:val="19"/>
              </w:rPr>
            </w:pPr>
            <w:r>
              <w:rPr>
                <w:sz w:val="19"/>
                <w:szCs w:val="19"/>
              </w:rPr>
              <w:t>Y</w:t>
            </w:r>
          </w:p>
        </w:tc>
      </w:tr>
      <w:tr w:rsidR="0019444C" w14:paraId="1067035F" w14:textId="77777777" w:rsidTr="0019444C">
        <w:trPr>
          <w:trHeight w:val="54"/>
        </w:trPr>
        <w:tc>
          <w:tcPr>
            <w:tcW w:w="5000" w:type="pct"/>
            <w:gridSpan w:val="8"/>
          </w:tcPr>
          <w:p w14:paraId="2BC71B17" w14:textId="21309F03" w:rsidR="0019444C" w:rsidRPr="005E24BF" w:rsidRDefault="0019444C" w:rsidP="0019444C">
            <w:pPr>
              <w:pStyle w:val="GoalLeads"/>
              <w:rPr>
                <w:sz w:val="19"/>
                <w:szCs w:val="19"/>
              </w:rPr>
            </w:pPr>
            <w:r w:rsidRPr="00030BB7">
              <w:t xml:space="preserve">Organization/ Lead Person:  </w:t>
            </w:r>
            <w:r>
              <w:t>a. Brad Martin</w:t>
            </w:r>
          </w:p>
        </w:tc>
      </w:tr>
      <w:tr w:rsidR="00D75C51" w14:paraId="53E1F7F7" w14:textId="77777777" w:rsidTr="00D374C9">
        <w:trPr>
          <w:trHeight w:val="1428"/>
        </w:trPr>
        <w:tc>
          <w:tcPr>
            <w:tcW w:w="1075" w:type="pct"/>
          </w:tcPr>
          <w:p w14:paraId="712C937B" w14:textId="0152FD67" w:rsidR="00037B40" w:rsidRPr="00F51ED8" w:rsidRDefault="00037B40" w:rsidP="00A35E6A">
            <w:pPr>
              <w:spacing w:after="120" w:line="260" w:lineRule="exact"/>
              <w:rPr>
                <w:sz w:val="19"/>
                <w:szCs w:val="19"/>
              </w:rPr>
            </w:pPr>
            <w:r w:rsidRPr="00F51ED8">
              <w:rPr>
                <w:sz w:val="19"/>
                <w:szCs w:val="19"/>
              </w:rPr>
              <w:t xml:space="preserve">Number of state agencies and other state entities classified as comprehensive or better using the CDC Health </w:t>
            </w:r>
            <w:r w:rsidR="00A35E6A">
              <w:rPr>
                <w:sz w:val="19"/>
                <w:szCs w:val="19"/>
              </w:rPr>
              <w:br/>
            </w:r>
            <w:r w:rsidRPr="00F51ED8">
              <w:rPr>
                <w:sz w:val="19"/>
                <w:szCs w:val="19"/>
              </w:rPr>
              <w:t>Score Card</w:t>
            </w:r>
          </w:p>
          <w:p w14:paraId="6E82215E" w14:textId="11771703" w:rsidR="00037B40" w:rsidRPr="00037B40" w:rsidRDefault="00037B40" w:rsidP="00F51ED8">
            <w:pPr>
              <w:spacing w:after="40" w:line="260" w:lineRule="exact"/>
              <w:rPr>
                <w:i/>
                <w:sz w:val="19"/>
                <w:szCs w:val="19"/>
              </w:rPr>
            </w:pPr>
            <w:r w:rsidRPr="00F51ED8">
              <w:rPr>
                <w:i/>
                <w:sz w:val="19"/>
                <w:szCs w:val="19"/>
              </w:rPr>
              <w:t>Data Source:  MSDH Office of Preventive Health</w:t>
            </w:r>
          </w:p>
        </w:tc>
        <w:tc>
          <w:tcPr>
            <w:tcW w:w="483" w:type="pct"/>
            <w:gridSpan w:val="3"/>
          </w:tcPr>
          <w:p w14:paraId="73541963" w14:textId="77777777" w:rsidR="00037B40" w:rsidRPr="00D541E4" w:rsidRDefault="00037B40" w:rsidP="00037B40">
            <w:pPr>
              <w:spacing w:line="260" w:lineRule="exact"/>
              <w:rPr>
                <w:sz w:val="19"/>
                <w:szCs w:val="19"/>
              </w:rPr>
            </w:pPr>
            <w:r>
              <w:rPr>
                <w:sz w:val="19"/>
                <w:szCs w:val="19"/>
              </w:rPr>
              <w:t>December 31, 2016</w:t>
            </w:r>
            <w:r w:rsidRPr="00D541E4">
              <w:rPr>
                <w:sz w:val="19"/>
                <w:szCs w:val="19"/>
              </w:rPr>
              <w:t xml:space="preserve">:  </w:t>
            </w:r>
          </w:p>
          <w:p w14:paraId="114703EB" w14:textId="61061BA4" w:rsidR="00037B40" w:rsidRDefault="00037B40" w:rsidP="00F51ED8">
            <w:pPr>
              <w:spacing w:line="260" w:lineRule="exact"/>
              <w:rPr>
                <w:sz w:val="19"/>
                <w:szCs w:val="19"/>
              </w:rPr>
            </w:pPr>
            <w:r>
              <w:rPr>
                <w:sz w:val="19"/>
                <w:szCs w:val="19"/>
              </w:rPr>
              <w:t>9</w:t>
            </w:r>
          </w:p>
        </w:tc>
        <w:tc>
          <w:tcPr>
            <w:tcW w:w="456" w:type="pct"/>
          </w:tcPr>
          <w:p w14:paraId="6C6E1015" w14:textId="033744D9" w:rsidR="00037B40" w:rsidRPr="005E24BF" w:rsidRDefault="00D374C9" w:rsidP="005A6457">
            <w:pPr>
              <w:spacing w:line="260" w:lineRule="exact"/>
              <w:rPr>
                <w:sz w:val="19"/>
                <w:szCs w:val="19"/>
              </w:rPr>
            </w:pPr>
            <w:r>
              <w:rPr>
                <w:sz w:val="19"/>
                <w:szCs w:val="19"/>
              </w:rPr>
              <w:t>September 29, 2017</w:t>
            </w:r>
          </w:p>
        </w:tc>
        <w:tc>
          <w:tcPr>
            <w:tcW w:w="438" w:type="pct"/>
          </w:tcPr>
          <w:p w14:paraId="278F1316" w14:textId="77777777" w:rsidR="00037B40" w:rsidRPr="00D541E4" w:rsidRDefault="00037B40" w:rsidP="00037B40">
            <w:pPr>
              <w:spacing w:line="260" w:lineRule="exact"/>
              <w:rPr>
                <w:sz w:val="19"/>
                <w:szCs w:val="19"/>
              </w:rPr>
            </w:pPr>
            <w:r>
              <w:rPr>
                <w:sz w:val="19"/>
                <w:szCs w:val="19"/>
              </w:rPr>
              <w:t>December 31, 2017</w:t>
            </w:r>
            <w:r w:rsidRPr="00D541E4">
              <w:rPr>
                <w:sz w:val="19"/>
                <w:szCs w:val="19"/>
              </w:rPr>
              <w:t xml:space="preserve">:  </w:t>
            </w:r>
          </w:p>
          <w:p w14:paraId="556BDAEE" w14:textId="30C011C1" w:rsidR="00037B40" w:rsidRDefault="00037B40" w:rsidP="00F51ED8">
            <w:pPr>
              <w:spacing w:line="260" w:lineRule="exact"/>
              <w:rPr>
                <w:sz w:val="19"/>
                <w:szCs w:val="19"/>
              </w:rPr>
            </w:pPr>
            <w:r>
              <w:rPr>
                <w:sz w:val="19"/>
                <w:szCs w:val="19"/>
              </w:rPr>
              <w:t>12</w:t>
            </w:r>
          </w:p>
        </w:tc>
        <w:tc>
          <w:tcPr>
            <w:tcW w:w="2071" w:type="pct"/>
          </w:tcPr>
          <w:p w14:paraId="7E43CC1C" w14:textId="7DCEBC09" w:rsidR="00037B40" w:rsidRPr="00F51ED8" w:rsidRDefault="00037B40" w:rsidP="00037B40">
            <w:pPr>
              <w:spacing w:line="260" w:lineRule="exact"/>
              <w:rPr>
                <w:sz w:val="19"/>
                <w:szCs w:val="19"/>
              </w:rPr>
            </w:pPr>
            <w:r>
              <w:rPr>
                <w:sz w:val="19"/>
                <w:szCs w:val="19"/>
              </w:rPr>
              <w:t xml:space="preserve">a. </w:t>
            </w:r>
            <w:r w:rsidRPr="00F51ED8">
              <w:rPr>
                <w:sz w:val="19"/>
                <w:szCs w:val="19"/>
              </w:rPr>
              <w:t>SEWP</w:t>
            </w:r>
            <w:r w:rsidR="00E32633">
              <w:rPr>
                <w:sz w:val="19"/>
                <w:szCs w:val="19"/>
              </w:rPr>
              <w:t xml:space="preserve"> </w:t>
            </w:r>
            <w:r w:rsidRPr="00F51ED8">
              <w:rPr>
                <w:sz w:val="19"/>
                <w:szCs w:val="19"/>
              </w:rPr>
              <w:t>in collaboration with SSEHIP provides four trainings per year to improve application of best practices in workplace wellness.</w:t>
            </w:r>
          </w:p>
          <w:p w14:paraId="25BACC7B" w14:textId="63EAFB9E" w:rsidR="00037B40" w:rsidRDefault="00037B40" w:rsidP="00F51ED8">
            <w:pPr>
              <w:spacing w:line="260" w:lineRule="exact"/>
              <w:rPr>
                <w:sz w:val="19"/>
                <w:szCs w:val="19"/>
              </w:rPr>
            </w:pPr>
            <w:r>
              <w:rPr>
                <w:sz w:val="19"/>
                <w:szCs w:val="19"/>
              </w:rPr>
              <w:t xml:space="preserve">b. </w:t>
            </w:r>
            <w:r w:rsidRPr="00F51ED8">
              <w:rPr>
                <w:sz w:val="19"/>
                <w:szCs w:val="19"/>
              </w:rPr>
              <w:t>Share success stories to legislature, state leadership, and state employer units annually</w:t>
            </w:r>
          </w:p>
        </w:tc>
        <w:tc>
          <w:tcPr>
            <w:tcW w:w="477" w:type="pct"/>
          </w:tcPr>
          <w:p w14:paraId="7F10A6E4" w14:textId="3128951F" w:rsidR="00037B40" w:rsidRDefault="00D374C9" w:rsidP="005A6457">
            <w:pPr>
              <w:spacing w:line="260" w:lineRule="exact"/>
              <w:rPr>
                <w:sz w:val="19"/>
                <w:szCs w:val="19"/>
              </w:rPr>
            </w:pPr>
            <w:r>
              <w:rPr>
                <w:sz w:val="19"/>
                <w:szCs w:val="19"/>
              </w:rPr>
              <w:t>G</w:t>
            </w:r>
          </w:p>
          <w:p w14:paraId="6597699D" w14:textId="77777777" w:rsidR="00E32633" w:rsidRDefault="00E32633" w:rsidP="005A6457">
            <w:pPr>
              <w:spacing w:line="260" w:lineRule="exact"/>
              <w:rPr>
                <w:sz w:val="19"/>
                <w:szCs w:val="19"/>
              </w:rPr>
            </w:pPr>
          </w:p>
          <w:p w14:paraId="7CBBA677" w14:textId="77777777" w:rsidR="00E32633" w:rsidRDefault="00E32633" w:rsidP="005A6457">
            <w:pPr>
              <w:spacing w:line="260" w:lineRule="exact"/>
              <w:rPr>
                <w:sz w:val="19"/>
                <w:szCs w:val="19"/>
              </w:rPr>
            </w:pPr>
            <w:r>
              <w:rPr>
                <w:sz w:val="19"/>
                <w:szCs w:val="19"/>
              </w:rPr>
              <w:t>G</w:t>
            </w:r>
          </w:p>
          <w:p w14:paraId="0A43535E" w14:textId="77777777" w:rsidR="00E32633" w:rsidRPr="005E24BF" w:rsidRDefault="00E32633" w:rsidP="005A6457">
            <w:pPr>
              <w:spacing w:line="260" w:lineRule="exact"/>
              <w:rPr>
                <w:sz w:val="19"/>
                <w:szCs w:val="19"/>
              </w:rPr>
            </w:pPr>
          </w:p>
        </w:tc>
      </w:tr>
      <w:tr w:rsidR="00037B40" w14:paraId="3816B484" w14:textId="77777777" w:rsidTr="00037B40">
        <w:trPr>
          <w:trHeight w:val="54"/>
        </w:trPr>
        <w:tc>
          <w:tcPr>
            <w:tcW w:w="5000" w:type="pct"/>
            <w:gridSpan w:val="8"/>
          </w:tcPr>
          <w:p w14:paraId="532E73A0" w14:textId="45EE1BCA" w:rsidR="00037B40" w:rsidRPr="005E24BF" w:rsidRDefault="00037B40" w:rsidP="00037B40">
            <w:pPr>
              <w:pStyle w:val="GoalLeads"/>
              <w:rPr>
                <w:sz w:val="19"/>
                <w:szCs w:val="19"/>
              </w:rPr>
            </w:pPr>
            <w:r w:rsidRPr="00030BB7">
              <w:t xml:space="preserve">Organization/ Lead Person:  </w:t>
            </w:r>
            <w:r>
              <w:t>a. Brad Martin b. OPH OPI</w:t>
            </w:r>
          </w:p>
        </w:tc>
      </w:tr>
      <w:tr w:rsidR="00D75C51" w14:paraId="5A1C5B27" w14:textId="77777777" w:rsidTr="00D374C9">
        <w:trPr>
          <w:trHeight w:val="1428"/>
        </w:trPr>
        <w:tc>
          <w:tcPr>
            <w:tcW w:w="1075" w:type="pct"/>
          </w:tcPr>
          <w:p w14:paraId="3BC90C32" w14:textId="6FA079F7" w:rsidR="00F51ED8" w:rsidRPr="00F51ED8" w:rsidRDefault="00F51ED8" w:rsidP="00A35E6A">
            <w:pPr>
              <w:spacing w:after="120" w:line="260" w:lineRule="exact"/>
              <w:rPr>
                <w:sz w:val="19"/>
                <w:szCs w:val="19"/>
              </w:rPr>
            </w:pPr>
            <w:r w:rsidRPr="00F51ED8">
              <w:rPr>
                <w:sz w:val="19"/>
                <w:szCs w:val="19"/>
              </w:rPr>
              <w:t xml:space="preserve">Number of Cities and Counties that achieve Recognized Healthy </w:t>
            </w:r>
            <w:r w:rsidR="00A35E6A">
              <w:rPr>
                <w:sz w:val="19"/>
                <w:szCs w:val="19"/>
              </w:rPr>
              <w:br/>
            </w:r>
            <w:r w:rsidRPr="00F51ED8">
              <w:rPr>
                <w:sz w:val="19"/>
                <w:szCs w:val="19"/>
              </w:rPr>
              <w:t xml:space="preserve">Employer status </w:t>
            </w:r>
          </w:p>
          <w:p w14:paraId="7D365C2B" w14:textId="2AE59CDA" w:rsidR="00F51ED8" w:rsidRPr="00AC3A89" w:rsidRDefault="00F51ED8" w:rsidP="00F51ED8">
            <w:pPr>
              <w:spacing w:after="40" w:line="260" w:lineRule="exact"/>
              <w:rPr>
                <w:i/>
                <w:sz w:val="19"/>
                <w:szCs w:val="19"/>
              </w:rPr>
            </w:pPr>
            <w:r w:rsidRPr="00F51ED8">
              <w:rPr>
                <w:i/>
                <w:sz w:val="19"/>
                <w:szCs w:val="19"/>
              </w:rPr>
              <w:t>Data Source: MS Business Group on Health</w:t>
            </w:r>
          </w:p>
        </w:tc>
        <w:tc>
          <w:tcPr>
            <w:tcW w:w="483" w:type="pct"/>
            <w:gridSpan w:val="3"/>
          </w:tcPr>
          <w:p w14:paraId="3CF9E081" w14:textId="77777777" w:rsidR="00F51ED8" w:rsidRPr="00D541E4" w:rsidRDefault="00F51ED8" w:rsidP="00F51ED8">
            <w:pPr>
              <w:spacing w:line="260" w:lineRule="exact"/>
              <w:rPr>
                <w:sz w:val="19"/>
                <w:szCs w:val="19"/>
              </w:rPr>
            </w:pPr>
            <w:r>
              <w:rPr>
                <w:sz w:val="19"/>
                <w:szCs w:val="19"/>
              </w:rPr>
              <w:t>December 31, 2016</w:t>
            </w:r>
            <w:r w:rsidRPr="00D541E4">
              <w:rPr>
                <w:sz w:val="19"/>
                <w:szCs w:val="19"/>
              </w:rPr>
              <w:t xml:space="preserve">:  </w:t>
            </w:r>
          </w:p>
          <w:p w14:paraId="68A86477" w14:textId="59268110" w:rsidR="00F51ED8" w:rsidRPr="005E24BF" w:rsidRDefault="00F51ED8" w:rsidP="00F51ED8">
            <w:pPr>
              <w:spacing w:line="260" w:lineRule="exact"/>
              <w:rPr>
                <w:sz w:val="19"/>
                <w:szCs w:val="19"/>
              </w:rPr>
            </w:pPr>
            <w:r>
              <w:rPr>
                <w:sz w:val="19"/>
                <w:szCs w:val="19"/>
              </w:rPr>
              <w:t>No Baseline</w:t>
            </w:r>
          </w:p>
        </w:tc>
        <w:tc>
          <w:tcPr>
            <w:tcW w:w="456" w:type="pct"/>
          </w:tcPr>
          <w:p w14:paraId="12A630C1" w14:textId="3F129406" w:rsidR="00AD648E" w:rsidRDefault="00D374C9" w:rsidP="005A6457">
            <w:pPr>
              <w:spacing w:line="260" w:lineRule="exact"/>
              <w:rPr>
                <w:sz w:val="19"/>
                <w:szCs w:val="19"/>
              </w:rPr>
            </w:pPr>
            <w:r>
              <w:rPr>
                <w:sz w:val="19"/>
                <w:szCs w:val="19"/>
              </w:rPr>
              <w:t>September 29, 2017</w:t>
            </w:r>
            <w:r w:rsidR="00E32633">
              <w:rPr>
                <w:sz w:val="19"/>
                <w:szCs w:val="19"/>
              </w:rPr>
              <w:t>:</w:t>
            </w:r>
          </w:p>
          <w:p w14:paraId="1F231594" w14:textId="509EF94C" w:rsidR="00E32633" w:rsidRPr="005E24BF" w:rsidRDefault="00E32633" w:rsidP="005A6457">
            <w:pPr>
              <w:spacing w:line="260" w:lineRule="exact"/>
              <w:rPr>
                <w:sz w:val="19"/>
                <w:szCs w:val="19"/>
              </w:rPr>
            </w:pPr>
            <w:r>
              <w:rPr>
                <w:sz w:val="19"/>
                <w:szCs w:val="19"/>
              </w:rPr>
              <w:t>1</w:t>
            </w:r>
          </w:p>
        </w:tc>
        <w:tc>
          <w:tcPr>
            <w:tcW w:w="438" w:type="pct"/>
          </w:tcPr>
          <w:p w14:paraId="476BEDEF" w14:textId="77777777" w:rsidR="00F51ED8" w:rsidRPr="00D541E4" w:rsidRDefault="00F51ED8" w:rsidP="00F51ED8">
            <w:pPr>
              <w:spacing w:line="260" w:lineRule="exact"/>
              <w:rPr>
                <w:sz w:val="19"/>
                <w:szCs w:val="19"/>
              </w:rPr>
            </w:pPr>
            <w:r>
              <w:rPr>
                <w:sz w:val="19"/>
                <w:szCs w:val="19"/>
              </w:rPr>
              <w:t>December 31, 2017</w:t>
            </w:r>
            <w:r w:rsidRPr="00D541E4">
              <w:rPr>
                <w:sz w:val="19"/>
                <w:szCs w:val="19"/>
              </w:rPr>
              <w:t xml:space="preserve">:  </w:t>
            </w:r>
          </w:p>
          <w:p w14:paraId="2BF46B01" w14:textId="1293B7C1" w:rsidR="00F51ED8" w:rsidRPr="005E24BF" w:rsidRDefault="00F51ED8" w:rsidP="00F51ED8">
            <w:pPr>
              <w:spacing w:line="260" w:lineRule="exact"/>
              <w:rPr>
                <w:sz w:val="19"/>
                <w:szCs w:val="19"/>
              </w:rPr>
            </w:pPr>
            <w:r>
              <w:rPr>
                <w:sz w:val="19"/>
                <w:szCs w:val="19"/>
              </w:rPr>
              <w:t>5</w:t>
            </w:r>
          </w:p>
        </w:tc>
        <w:tc>
          <w:tcPr>
            <w:tcW w:w="2071" w:type="pct"/>
          </w:tcPr>
          <w:p w14:paraId="07F8822B" w14:textId="37039E90" w:rsidR="00F51ED8" w:rsidRPr="00F51ED8" w:rsidRDefault="00F51ED8" w:rsidP="00F51ED8">
            <w:pPr>
              <w:spacing w:line="260" w:lineRule="exact"/>
              <w:rPr>
                <w:sz w:val="19"/>
                <w:szCs w:val="19"/>
              </w:rPr>
            </w:pPr>
            <w:r>
              <w:rPr>
                <w:sz w:val="19"/>
                <w:szCs w:val="19"/>
              </w:rPr>
              <w:t xml:space="preserve">a. </w:t>
            </w:r>
            <w:r w:rsidRPr="00F51ED8">
              <w:rPr>
                <w:sz w:val="19"/>
                <w:szCs w:val="19"/>
              </w:rPr>
              <w:t xml:space="preserve">MSBGH and SEWP work with the MML and MAS to promote Recognized Healthy Employer Program </w:t>
            </w:r>
          </w:p>
          <w:p w14:paraId="2295DA8A" w14:textId="31BCB9A6" w:rsidR="00F51ED8" w:rsidRPr="005E24BF" w:rsidRDefault="00F51ED8" w:rsidP="00F51ED8">
            <w:pPr>
              <w:spacing w:line="260" w:lineRule="exact"/>
              <w:rPr>
                <w:sz w:val="19"/>
                <w:szCs w:val="19"/>
              </w:rPr>
            </w:pPr>
            <w:r>
              <w:rPr>
                <w:sz w:val="19"/>
                <w:szCs w:val="19"/>
              </w:rPr>
              <w:t xml:space="preserve">b. </w:t>
            </w:r>
            <w:r w:rsidRPr="00F51ED8">
              <w:rPr>
                <w:sz w:val="19"/>
                <w:szCs w:val="19"/>
              </w:rPr>
              <w:t>Will secure 5 cities and counties that</w:t>
            </w:r>
            <w:r>
              <w:rPr>
                <w:sz w:val="19"/>
                <w:szCs w:val="19"/>
              </w:rPr>
              <w:t xml:space="preserve"> achieve the Recognized Healthy Employer Status</w:t>
            </w:r>
          </w:p>
        </w:tc>
        <w:tc>
          <w:tcPr>
            <w:tcW w:w="477" w:type="pct"/>
          </w:tcPr>
          <w:p w14:paraId="5AACF843" w14:textId="77777777" w:rsidR="00AD648E" w:rsidRDefault="00E32633" w:rsidP="005A6457">
            <w:pPr>
              <w:spacing w:line="260" w:lineRule="exact"/>
              <w:rPr>
                <w:sz w:val="19"/>
                <w:szCs w:val="19"/>
              </w:rPr>
            </w:pPr>
            <w:r>
              <w:rPr>
                <w:sz w:val="19"/>
                <w:szCs w:val="19"/>
              </w:rPr>
              <w:t>Y</w:t>
            </w:r>
          </w:p>
          <w:p w14:paraId="749765E2" w14:textId="77777777" w:rsidR="00E32633" w:rsidRDefault="00E32633" w:rsidP="00E32633">
            <w:pPr>
              <w:spacing w:after="0" w:line="260" w:lineRule="exact"/>
              <w:rPr>
                <w:sz w:val="19"/>
                <w:szCs w:val="19"/>
              </w:rPr>
            </w:pPr>
          </w:p>
          <w:p w14:paraId="48D0B146" w14:textId="092DADCA" w:rsidR="00E32633" w:rsidRDefault="00E32633" w:rsidP="00E32633">
            <w:pPr>
              <w:spacing w:after="0" w:line="260" w:lineRule="exact"/>
              <w:rPr>
                <w:sz w:val="19"/>
                <w:szCs w:val="19"/>
              </w:rPr>
            </w:pPr>
            <w:r>
              <w:rPr>
                <w:sz w:val="19"/>
                <w:szCs w:val="19"/>
              </w:rPr>
              <w:t>R</w:t>
            </w:r>
          </w:p>
          <w:p w14:paraId="69ED928F" w14:textId="77777777" w:rsidR="00E32633" w:rsidRPr="005E24BF" w:rsidRDefault="00E32633" w:rsidP="005A6457">
            <w:pPr>
              <w:spacing w:line="260" w:lineRule="exact"/>
              <w:rPr>
                <w:sz w:val="19"/>
                <w:szCs w:val="19"/>
              </w:rPr>
            </w:pPr>
          </w:p>
        </w:tc>
      </w:tr>
      <w:tr w:rsidR="00AD648E" w14:paraId="4E8A9ACF" w14:textId="77777777" w:rsidTr="005A6457">
        <w:trPr>
          <w:trHeight w:val="276"/>
        </w:trPr>
        <w:tc>
          <w:tcPr>
            <w:tcW w:w="5000" w:type="pct"/>
            <w:gridSpan w:val="8"/>
            <w:vAlign w:val="center"/>
          </w:tcPr>
          <w:p w14:paraId="0CE1D3E4" w14:textId="38BD010D" w:rsidR="00AD648E" w:rsidRPr="008754E4" w:rsidRDefault="00AD4F6D" w:rsidP="00AD4F6D">
            <w:pPr>
              <w:pStyle w:val="GoalLeads"/>
            </w:pPr>
            <w:r w:rsidRPr="00030BB7">
              <w:t xml:space="preserve">Organization/ Lead Person:  </w:t>
            </w:r>
            <w:r>
              <w:t>a. Murray Harber/Victor Sutton; b. Murray Harber; Victor Sutton Office of Preventive Health, MSDH</w:t>
            </w:r>
          </w:p>
        </w:tc>
      </w:tr>
    </w:tbl>
    <w:p w14:paraId="7A10030A" w14:textId="77777777" w:rsidR="00AD648E" w:rsidRDefault="00AD648E" w:rsidP="00961649">
      <w:pPr>
        <w:pStyle w:val="H3Blue"/>
        <w:rPr>
          <w:szCs w:val="23"/>
        </w:rPr>
      </w:pPr>
    </w:p>
    <w:p w14:paraId="5660BE41" w14:textId="77777777" w:rsidR="001D181B" w:rsidRDefault="001D181B">
      <w:pPr>
        <w:suppressAutoHyphens w:val="0"/>
        <w:spacing w:after="0" w:line="240" w:lineRule="auto"/>
        <w:rPr>
          <w:b/>
          <w:bCs/>
          <w:color w:val="70AD47" w:themeColor="accent6"/>
          <w:sz w:val="29"/>
        </w:rPr>
      </w:pPr>
      <w:r>
        <w:br w:type="page"/>
      </w:r>
    </w:p>
    <w:p w14:paraId="5DA1AFB1" w14:textId="3A68826F" w:rsidR="002F6029" w:rsidRDefault="002F6029" w:rsidP="002F6029">
      <w:pPr>
        <w:pStyle w:val="H3Green"/>
      </w:pPr>
      <w:r>
        <w:lastRenderedPageBreak/>
        <w:t xml:space="preserve">APPENDIX O: </w:t>
      </w:r>
      <w:r w:rsidRPr="00D60B29">
        <w:t>Mississippi State Community Scorecard – 2016</w:t>
      </w:r>
      <w:r>
        <w:br/>
        <w:t>PRIORITY AREA #4:</w:t>
      </w:r>
      <w:r w:rsidRPr="00D60B29">
        <w:t xml:space="preserve"> </w:t>
      </w:r>
      <w:r>
        <w:t>Create a Culture of Health</w:t>
      </w:r>
    </w:p>
    <w:p w14:paraId="1EDE0D11" w14:textId="0A893469" w:rsidR="002F6029" w:rsidRDefault="002F6029" w:rsidP="002F6029">
      <w:pPr>
        <w:pStyle w:val="H3Blue"/>
      </w:pPr>
      <w:r>
        <w:t xml:space="preserve">Goal </w:t>
      </w:r>
      <w:r w:rsidR="00A016A6">
        <w:t>4.2</w:t>
      </w:r>
      <w:r w:rsidRPr="001103DF">
        <w:t xml:space="preserve"> </w:t>
      </w:r>
      <w:r>
        <w:t>Improve the culture of health in Mississippi academic settings</w:t>
      </w:r>
    </w:p>
    <w:p w14:paraId="47A81101" w14:textId="175DA282" w:rsidR="002F6029" w:rsidRDefault="002F6029" w:rsidP="002F6029">
      <w:r w:rsidRPr="002F6029">
        <w:rPr>
          <w:b/>
        </w:rPr>
        <w:t xml:space="preserve">Strategic Objective 4.2.1 </w:t>
      </w:r>
      <w:r w:rsidRPr="002F6029">
        <w:t>Increase the percent of school health councils in (full compliance) with composition requirements</w:t>
      </w:r>
    </w:p>
    <w:tbl>
      <w:tblPr>
        <w:tblStyle w:val="TableGrid"/>
        <w:tblW w:w="4913"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ayout w:type="fixed"/>
        <w:tblCellMar>
          <w:left w:w="115" w:type="dxa"/>
          <w:right w:w="115" w:type="dxa"/>
        </w:tblCellMar>
        <w:tblLook w:val="04A0" w:firstRow="1" w:lastRow="0" w:firstColumn="1" w:lastColumn="0" w:noHBand="0" w:noVBand="1"/>
      </w:tblPr>
      <w:tblGrid>
        <w:gridCol w:w="2373"/>
        <w:gridCol w:w="1466"/>
        <w:gridCol w:w="1282"/>
        <w:gridCol w:w="1466"/>
        <w:gridCol w:w="6414"/>
        <w:gridCol w:w="1374"/>
      </w:tblGrid>
      <w:tr w:rsidR="00D75C51" w14:paraId="6DD9A41C" w14:textId="77777777" w:rsidTr="00D75C51">
        <w:trPr>
          <w:trHeight w:val="591"/>
        </w:trPr>
        <w:tc>
          <w:tcPr>
            <w:tcW w:w="825" w:type="pct"/>
            <w:tcBorders>
              <w:right w:val="single" w:sz="12" w:space="0" w:color="FFFFFF" w:themeColor="background1"/>
            </w:tcBorders>
            <w:shd w:val="clear" w:color="auto" w:fill="F3F5E2"/>
            <w:vAlign w:val="center"/>
          </w:tcPr>
          <w:p w14:paraId="15A12650" w14:textId="77777777" w:rsidR="002F6029" w:rsidRPr="00042B28" w:rsidRDefault="002F6029" w:rsidP="005A6457">
            <w:pPr>
              <w:spacing w:after="0"/>
              <w:rPr>
                <w:b/>
                <w:color w:val="F57757"/>
                <w:szCs w:val="20"/>
              </w:rPr>
            </w:pPr>
            <w:r w:rsidRPr="00042B28">
              <w:rPr>
                <w:b/>
                <w:color w:val="F57757"/>
                <w:szCs w:val="20"/>
              </w:rPr>
              <w:t>Measure</w:t>
            </w:r>
          </w:p>
        </w:tc>
        <w:tc>
          <w:tcPr>
            <w:tcW w:w="510" w:type="pct"/>
            <w:tcBorders>
              <w:left w:val="single" w:sz="12" w:space="0" w:color="FFFFFF" w:themeColor="background1"/>
              <w:right w:val="single" w:sz="12" w:space="0" w:color="FFFFFF" w:themeColor="background1"/>
            </w:tcBorders>
            <w:shd w:val="clear" w:color="auto" w:fill="F3F5E2"/>
            <w:vAlign w:val="center"/>
          </w:tcPr>
          <w:p w14:paraId="62478175" w14:textId="77777777" w:rsidR="002F6029" w:rsidRPr="008C3C4D" w:rsidRDefault="002F6029" w:rsidP="005A6457">
            <w:pPr>
              <w:spacing w:after="0"/>
              <w:ind w:left="-280" w:firstLine="270"/>
              <w:rPr>
                <w:b/>
                <w:color w:val="F57757"/>
                <w:szCs w:val="20"/>
              </w:rPr>
            </w:pPr>
            <w:r w:rsidRPr="008C3C4D">
              <w:rPr>
                <w:b/>
                <w:color w:val="F57757"/>
                <w:szCs w:val="20"/>
              </w:rPr>
              <w:t>Baseline</w:t>
            </w:r>
          </w:p>
        </w:tc>
        <w:tc>
          <w:tcPr>
            <w:tcW w:w="446" w:type="pct"/>
            <w:tcBorders>
              <w:left w:val="single" w:sz="12" w:space="0" w:color="FFFFFF" w:themeColor="background1"/>
              <w:right w:val="single" w:sz="12" w:space="0" w:color="FFFFFF" w:themeColor="background1"/>
            </w:tcBorders>
            <w:shd w:val="clear" w:color="auto" w:fill="F3F5E2"/>
            <w:vAlign w:val="center"/>
          </w:tcPr>
          <w:p w14:paraId="6C3E60C2" w14:textId="77777777" w:rsidR="002F6029" w:rsidRPr="008C3C4D" w:rsidRDefault="002F6029" w:rsidP="005A6457">
            <w:pPr>
              <w:spacing w:after="0" w:line="240" w:lineRule="auto"/>
              <w:rPr>
                <w:b/>
                <w:color w:val="F57757"/>
                <w:szCs w:val="20"/>
              </w:rPr>
            </w:pPr>
            <w:r>
              <w:rPr>
                <w:b/>
                <w:color w:val="F57757"/>
                <w:szCs w:val="20"/>
              </w:rPr>
              <w:t>Current/</w:t>
            </w:r>
            <w:r>
              <w:rPr>
                <w:b/>
                <w:color w:val="F57757"/>
                <w:szCs w:val="20"/>
              </w:rPr>
              <w:br/>
              <w:t>Date</w:t>
            </w:r>
          </w:p>
        </w:tc>
        <w:tc>
          <w:tcPr>
            <w:tcW w:w="510" w:type="pct"/>
            <w:tcBorders>
              <w:left w:val="single" w:sz="12" w:space="0" w:color="FFFFFF" w:themeColor="background1"/>
              <w:right w:val="single" w:sz="12" w:space="0" w:color="FFFFFF" w:themeColor="background1"/>
            </w:tcBorders>
            <w:shd w:val="clear" w:color="auto" w:fill="F3F5E2"/>
            <w:vAlign w:val="center"/>
          </w:tcPr>
          <w:p w14:paraId="3012EAF6" w14:textId="77777777" w:rsidR="002F6029" w:rsidRPr="008C3C4D" w:rsidRDefault="002F6029" w:rsidP="005A6457">
            <w:pPr>
              <w:spacing w:after="0"/>
              <w:rPr>
                <w:b/>
                <w:color w:val="F57757"/>
                <w:szCs w:val="20"/>
              </w:rPr>
            </w:pPr>
            <w:r w:rsidRPr="008C3C4D">
              <w:rPr>
                <w:b/>
                <w:color w:val="F57757"/>
                <w:szCs w:val="20"/>
              </w:rPr>
              <w:t>Target</w:t>
            </w:r>
          </w:p>
        </w:tc>
        <w:tc>
          <w:tcPr>
            <w:tcW w:w="2231" w:type="pct"/>
            <w:tcBorders>
              <w:left w:val="single" w:sz="12" w:space="0" w:color="FFFFFF" w:themeColor="background1"/>
              <w:right w:val="single" w:sz="12" w:space="0" w:color="FFFFFF"/>
            </w:tcBorders>
            <w:shd w:val="clear" w:color="auto" w:fill="F3F5E2"/>
            <w:vAlign w:val="center"/>
          </w:tcPr>
          <w:p w14:paraId="60CCBC34" w14:textId="77777777" w:rsidR="002F6029" w:rsidRPr="00042B28" w:rsidRDefault="002F6029" w:rsidP="005A6457">
            <w:pPr>
              <w:spacing w:after="0"/>
              <w:rPr>
                <w:b/>
                <w:color w:val="F57757"/>
                <w:szCs w:val="20"/>
              </w:rPr>
            </w:pPr>
            <w:r w:rsidRPr="00042B28">
              <w:rPr>
                <w:b/>
                <w:color w:val="F57757"/>
                <w:szCs w:val="20"/>
              </w:rPr>
              <w:t>Critical Actions/Intervention Strategies</w:t>
            </w:r>
          </w:p>
        </w:tc>
        <w:tc>
          <w:tcPr>
            <w:tcW w:w="478" w:type="pct"/>
            <w:tcBorders>
              <w:left w:val="single" w:sz="12" w:space="0" w:color="FFFFFF"/>
            </w:tcBorders>
            <w:shd w:val="clear" w:color="auto" w:fill="F3F5E2"/>
            <w:vAlign w:val="center"/>
          </w:tcPr>
          <w:p w14:paraId="295CF2C1" w14:textId="77777777" w:rsidR="002F6029" w:rsidRPr="00042B28" w:rsidRDefault="002F6029" w:rsidP="005A6457">
            <w:pPr>
              <w:spacing w:after="0" w:line="240" w:lineRule="auto"/>
              <w:rPr>
                <w:b/>
                <w:color w:val="F57757"/>
                <w:szCs w:val="20"/>
              </w:rPr>
            </w:pPr>
            <w:r w:rsidRPr="00042B28">
              <w:rPr>
                <w:b/>
                <w:color w:val="F57757"/>
                <w:szCs w:val="20"/>
              </w:rPr>
              <w:t>Status</w:t>
            </w:r>
            <w:r w:rsidRPr="00042B28">
              <w:rPr>
                <w:b/>
                <w:color w:val="F57757"/>
                <w:szCs w:val="20"/>
              </w:rPr>
              <w:br/>
              <w:t>R/Y/G</w:t>
            </w:r>
          </w:p>
        </w:tc>
      </w:tr>
      <w:tr w:rsidR="004F62EC" w14:paraId="26FE2DA5" w14:textId="77777777" w:rsidTr="00D75C51">
        <w:trPr>
          <w:trHeight w:val="1500"/>
        </w:trPr>
        <w:tc>
          <w:tcPr>
            <w:tcW w:w="825" w:type="pct"/>
          </w:tcPr>
          <w:p w14:paraId="69FF8CF4" w14:textId="77777777" w:rsidR="00975DC9" w:rsidRPr="00975DC9" w:rsidRDefault="00975DC9" w:rsidP="00975DC9">
            <w:pPr>
              <w:spacing w:line="260" w:lineRule="exact"/>
              <w:rPr>
                <w:sz w:val="19"/>
                <w:szCs w:val="19"/>
              </w:rPr>
            </w:pPr>
            <w:r w:rsidRPr="00975DC9">
              <w:rPr>
                <w:sz w:val="19"/>
                <w:szCs w:val="19"/>
              </w:rPr>
              <w:t>Percent of health councils that have members that are child nutrition directors, health professionals, and students</w:t>
            </w:r>
          </w:p>
          <w:p w14:paraId="483D7CBA" w14:textId="15317052" w:rsidR="002F6029" w:rsidRPr="003C6A92" w:rsidRDefault="00975DC9" w:rsidP="00975DC9">
            <w:pPr>
              <w:spacing w:line="260" w:lineRule="exact"/>
              <w:rPr>
                <w:i/>
                <w:sz w:val="19"/>
                <w:szCs w:val="19"/>
              </w:rPr>
            </w:pPr>
            <w:r w:rsidRPr="00975DC9">
              <w:rPr>
                <w:i/>
                <w:sz w:val="19"/>
                <w:szCs w:val="19"/>
              </w:rPr>
              <w:t>Data Source:</w:t>
            </w:r>
            <w:r w:rsidR="001D181B">
              <w:rPr>
                <w:i/>
                <w:sz w:val="19"/>
                <w:szCs w:val="19"/>
              </w:rPr>
              <w:br/>
            </w:r>
            <w:r w:rsidRPr="00975DC9">
              <w:rPr>
                <w:i/>
                <w:sz w:val="19"/>
                <w:szCs w:val="19"/>
              </w:rPr>
              <w:t xml:space="preserve">Center for Mississippi </w:t>
            </w:r>
            <w:r w:rsidR="001D181B">
              <w:rPr>
                <w:i/>
                <w:sz w:val="19"/>
                <w:szCs w:val="19"/>
              </w:rPr>
              <w:br/>
            </w:r>
            <w:r w:rsidRPr="00975DC9">
              <w:rPr>
                <w:i/>
                <w:sz w:val="19"/>
                <w:szCs w:val="19"/>
              </w:rPr>
              <w:t>Health Policy</w:t>
            </w:r>
          </w:p>
        </w:tc>
        <w:tc>
          <w:tcPr>
            <w:tcW w:w="510" w:type="pct"/>
          </w:tcPr>
          <w:p w14:paraId="2613349A" w14:textId="2FD89A17" w:rsidR="002F6029" w:rsidRPr="008D0C67" w:rsidRDefault="008D0C67" w:rsidP="005A6457">
            <w:pPr>
              <w:spacing w:line="260" w:lineRule="exact"/>
              <w:rPr>
                <w:spacing w:val="-2"/>
                <w:sz w:val="19"/>
                <w:szCs w:val="19"/>
              </w:rPr>
            </w:pPr>
            <w:r w:rsidRPr="008D0C67">
              <w:rPr>
                <w:spacing w:val="-2"/>
                <w:sz w:val="19"/>
                <w:szCs w:val="19"/>
              </w:rPr>
              <w:t xml:space="preserve">2011-2012 School </w:t>
            </w:r>
            <w:r w:rsidR="00975DC9" w:rsidRPr="008D0C67">
              <w:rPr>
                <w:spacing w:val="-2"/>
                <w:sz w:val="19"/>
                <w:szCs w:val="19"/>
              </w:rPr>
              <w:t>Year: 18%</w:t>
            </w:r>
          </w:p>
        </w:tc>
        <w:tc>
          <w:tcPr>
            <w:tcW w:w="446" w:type="pct"/>
          </w:tcPr>
          <w:p w14:paraId="49D5BEC1" w14:textId="200520E8" w:rsidR="002F6029" w:rsidRPr="005E24BF" w:rsidRDefault="00D374C9" w:rsidP="005A6457">
            <w:pPr>
              <w:spacing w:line="260" w:lineRule="exact"/>
              <w:rPr>
                <w:sz w:val="19"/>
                <w:szCs w:val="19"/>
              </w:rPr>
            </w:pPr>
            <w:r>
              <w:rPr>
                <w:sz w:val="19"/>
                <w:szCs w:val="19"/>
              </w:rPr>
              <w:t>September 29, 2017</w:t>
            </w:r>
          </w:p>
        </w:tc>
        <w:tc>
          <w:tcPr>
            <w:tcW w:w="510" w:type="pct"/>
          </w:tcPr>
          <w:p w14:paraId="32B19877" w14:textId="73290C76" w:rsidR="002F6029" w:rsidRPr="008D0C67" w:rsidRDefault="00975DC9" w:rsidP="005A6457">
            <w:pPr>
              <w:spacing w:line="260" w:lineRule="exact"/>
              <w:rPr>
                <w:spacing w:val="-2"/>
                <w:sz w:val="19"/>
                <w:szCs w:val="19"/>
              </w:rPr>
            </w:pPr>
            <w:r w:rsidRPr="008D0C67">
              <w:rPr>
                <w:spacing w:val="-2"/>
                <w:sz w:val="19"/>
                <w:szCs w:val="19"/>
              </w:rPr>
              <w:t>2017-2018 School Year: 25%</w:t>
            </w:r>
          </w:p>
        </w:tc>
        <w:tc>
          <w:tcPr>
            <w:tcW w:w="2231" w:type="pct"/>
          </w:tcPr>
          <w:p w14:paraId="0C22F68B" w14:textId="77777777" w:rsidR="00975DC9" w:rsidRPr="00975DC9" w:rsidRDefault="00975DC9" w:rsidP="00975DC9">
            <w:pPr>
              <w:spacing w:line="260" w:lineRule="exact"/>
              <w:rPr>
                <w:sz w:val="19"/>
                <w:szCs w:val="19"/>
              </w:rPr>
            </w:pPr>
            <w:r w:rsidRPr="00975DC9">
              <w:rPr>
                <w:sz w:val="19"/>
                <w:szCs w:val="19"/>
              </w:rPr>
              <w:t>a. Provide messages to MDE Office of Healthy Schools for school board training by September 2015</w:t>
            </w:r>
          </w:p>
          <w:p w14:paraId="3458E274" w14:textId="77777777" w:rsidR="00975DC9" w:rsidRPr="00975DC9" w:rsidRDefault="00975DC9" w:rsidP="00975DC9">
            <w:pPr>
              <w:spacing w:line="260" w:lineRule="exact"/>
              <w:rPr>
                <w:sz w:val="19"/>
                <w:szCs w:val="19"/>
              </w:rPr>
            </w:pPr>
            <w:r w:rsidRPr="00975DC9">
              <w:rPr>
                <w:sz w:val="19"/>
                <w:szCs w:val="19"/>
              </w:rPr>
              <w:t>b. Provide message to school nurses by September 2016</w:t>
            </w:r>
          </w:p>
          <w:p w14:paraId="50F43935" w14:textId="77777777" w:rsidR="00975DC9" w:rsidRPr="00975DC9" w:rsidRDefault="00975DC9" w:rsidP="00975DC9">
            <w:pPr>
              <w:spacing w:line="260" w:lineRule="exact"/>
              <w:rPr>
                <w:sz w:val="19"/>
                <w:szCs w:val="19"/>
              </w:rPr>
            </w:pPr>
            <w:r w:rsidRPr="00975DC9">
              <w:rPr>
                <w:sz w:val="19"/>
                <w:szCs w:val="19"/>
              </w:rPr>
              <w:t>c. Engage health professional organizations to determine who is interested in serving on school health councils at annual meetings in 2016-2017</w:t>
            </w:r>
          </w:p>
          <w:p w14:paraId="44438184" w14:textId="77777777" w:rsidR="00975DC9" w:rsidRPr="00975DC9" w:rsidRDefault="00975DC9" w:rsidP="00975DC9">
            <w:pPr>
              <w:spacing w:line="260" w:lineRule="exact"/>
              <w:rPr>
                <w:sz w:val="19"/>
                <w:szCs w:val="19"/>
              </w:rPr>
            </w:pPr>
            <w:r w:rsidRPr="00975DC9">
              <w:rPr>
                <w:sz w:val="19"/>
                <w:szCs w:val="19"/>
              </w:rPr>
              <w:t>d. Map healthcare professionals by December 2016</w:t>
            </w:r>
          </w:p>
          <w:p w14:paraId="6CCC87EE" w14:textId="1670790C" w:rsidR="00975DC9" w:rsidRPr="00975DC9" w:rsidRDefault="00975DC9" w:rsidP="00975DC9">
            <w:pPr>
              <w:spacing w:line="260" w:lineRule="exact"/>
              <w:rPr>
                <w:sz w:val="19"/>
                <w:szCs w:val="19"/>
              </w:rPr>
            </w:pPr>
            <w:r w:rsidRPr="00975DC9">
              <w:rPr>
                <w:sz w:val="19"/>
                <w:szCs w:val="19"/>
              </w:rPr>
              <w:t>e. Provide infor</w:t>
            </w:r>
            <w:r>
              <w:rPr>
                <w:sz w:val="19"/>
                <w:szCs w:val="19"/>
              </w:rPr>
              <w:t xml:space="preserve">mation to parent organizations </w:t>
            </w:r>
            <w:r w:rsidRPr="00975DC9">
              <w:rPr>
                <w:sz w:val="19"/>
                <w:szCs w:val="19"/>
              </w:rPr>
              <w:t>by August 2016</w:t>
            </w:r>
          </w:p>
          <w:p w14:paraId="5156C312" w14:textId="7D87B3A3" w:rsidR="002F6029" w:rsidRPr="00D75C51" w:rsidRDefault="00975DC9" w:rsidP="00975DC9">
            <w:pPr>
              <w:spacing w:line="260" w:lineRule="exact"/>
              <w:rPr>
                <w:spacing w:val="-2"/>
                <w:sz w:val="19"/>
                <w:szCs w:val="19"/>
              </w:rPr>
            </w:pPr>
            <w:r w:rsidRPr="00D75C51">
              <w:rPr>
                <w:spacing w:val="-2"/>
                <w:sz w:val="19"/>
                <w:szCs w:val="19"/>
              </w:rPr>
              <w:t>f. Share information with school administration by August 2016</w:t>
            </w:r>
          </w:p>
        </w:tc>
        <w:tc>
          <w:tcPr>
            <w:tcW w:w="478" w:type="pct"/>
          </w:tcPr>
          <w:p w14:paraId="3870CC51" w14:textId="77777777" w:rsidR="002F6029" w:rsidRDefault="00E32633" w:rsidP="005A6457">
            <w:pPr>
              <w:spacing w:line="260" w:lineRule="exact"/>
              <w:rPr>
                <w:sz w:val="19"/>
                <w:szCs w:val="19"/>
              </w:rPr>
            </w:pPr>
            <w:r>
              <w:rPr>
                <w:sz w:val="19"/>
                <w:szCs w:val="19"/>
              </w:rPr>
              <w:t>G</w:t>
            </w:r>
          </w:p>
          <w:p w14:paraId="702222B2" w14:textId="77777777" w:rsidR="00E32633" w:rsidRDefault="00E32633" w:rsidP="00E32633">
            <w:pPr>
              <w:spacing w:after="0" w:line="260" w:lineRule="exact"/>
              <w:rPr>
                <w:sz w:val="19"/>
                <w:szCs w:val="19"/>
              </w:rPr>
            </w:pPr>
          </w:p>
          <w:p w14:paraId="4A0AAC4A" w14:textId="77777777" w:rsidR="00E32633" w:rsidRDefault="00E32633" w:rsidP="00E32633">
            <w:pPr>
              <w:spacing w:after="0" w:line="276" w:lineRule="auto"/>
              <w:rPr>
                <w:sz w:val="19"/>
                <w:szCs w:val="19"/>
              </w:rPr>
            </w:pPr>
            <w:r>
              <w:rPr>
                <w:sz w:val="19"/>
                <w:szCs w:val="19"/>
              </w:rPr>
              <w:t>G</w:t>
            </w:r>
          </w:p>
          <w:p w14:paraId="352513B5" w14:textId="77777777" w:rsidR="00E32633" w:rsidRDefault="00E32633" w:rsidP="00E32633">
            <w:pPr>
              <w:spacing w:after="0" w:line="276" w:lineRule="auto"/>
              <w:rPr>
                <w:sz w:val="19"/>
                <w:szCs w:val="19"/>
              </w:rPr>
            </w:pPr>
          </w:p>
          <w:p w14:paraId="6A71CC5C" w14:textId="2AB9DBCF" w:rsidR="00E32633" w:rsidRDefault="00E32633" w:rsidP="00E32633">
            <w:pPr>
              <w:spacing w:after="0" w:line="276" w:lineRule="auto"/>
              <w:rPr>
                <w:sz w:val="19"/>
                <w:szCs w:val="19"/>
              </w:rPr>
            </w:pPr>
            <w:r>
              <w:rPr>
                <w:sz w:val="19"/>
                <w:szCs w:val="19"/>
              </w:rPr>
              <w:t>G</w:t>
            </w:r>
          </w:p>
          <w:p w14:paraId="37326DBD" w14:textId="77777777" w:rsidR="00E32633" w:rsidRDefault="00E32633" w:rsidP="00E32633">
            <w:pPr>
              <w:spacing w:after="0" w:line="276" w:lineRule="auto"/>
              <w:rPr>
                <w:sz w:val="19"/>
                <w:szCs w:val="19"/>
              </w:rPr>
            </w:pPr>
          </w:p>
          <w:p w14:paraId="24A8C7D3" w14:textId="77777777" w:rsidR="00E32633" w:rsidRDefault="00E32633" w:rsidP="00E32633">
            <w:pPr>
              <w:spacing w:after="0" w:line="276" w:lineRule="auto"/>
              <w:rPr>
                <w:sz w:val="19"/>
                <w:szCs w:val="19"/>
              </w:rPr>
            </w:pPr>
          </w:p>
          <w:p w14:paraId="7A06AD29" w14:textId="1682CD64" w:rsidR="00E32633" w:rsidRDefault="00E32633" w:rsidP="00E32633">
            <w:pPr>
              <w:spacing w:after="0" w:line="276" w:lineRule="auto"/>
              <w:rPr>
                <w:sz w:val="19"/>
                <w:szCs w:val="19"/>
              </w:rPr>
            </w:pPr>
            <w:r>
              <w:rPr>
                <w:sz w:val="19"/>
                <w:szCs w:val="19"/>
              </w:rPr>
              <w:t>G</w:t>
            </w:r>
          </w:p>
          <w:p w14:paraId="330E20B6" w14:textId="77777777" w:rsidR="00E32633" w:rsidRDefault="00E32633" w:rsidP="00E32633">
            <w:pPr>
              <w:spacing w:after="0" w:line="276" w:lineRule="auto"/>
              <w:rPr>
                <w:sz w:val="19"/>
                <w:szCs w:val="19"/>
              </w:rPr>
            </w:pPr>
          </w:p>
          <w:p w14:paraId="4009C67A" w14:textId="5210006C" w:rsidR="00E32633" w:rsidRDefault="00E32633" w:rsidP="00E32633">
            <w:pPr>
              <w:spacing w:after="0" w:line="276" w:lineRule="auto"/>
              <w:rPr>
                <w:sz w:val="19"/>
                <w:szCs w:val="19"/>
              </w:rPr>
            </w:pPr>
            <w:r>
              <w:rPr>
                <w:sz w:val="19"/>
                <w:szCs w:val="19"/>
              </w:rPr>
              <w:t>G</w:t>
            </w:r>
          </w:p>
          <w:p w14:paraId="4AED21B9" w14:textId="77777777" w:rsidR="00E32633" w:rsidRDefault="00E32633" w:rsidP="00E32633">
            <w:pPr>
              <w:spacing w:after="0" w:line="276" w:lineRule="auto"/>
              <w:rPr>
                <w:sz w:val="19"/>
                <w:szCs w:val="19"/>
              </w:rPr>
            </w:pPr>
          </w:p>
          <w:p w14:paraId="088665DB" w14:textId="1CE24DEB" w:rsidR="00E32633" w:rsidRPr="005E24BF" w:rsidRDefault="00E32633" w:rsidP="00E32633">
            <w:pPr>
              <w:spacing w:after="0" w:line="276" w:lineRule="auto"/>
              <w:rPr>
                <w:sz w:val="19"/>
                <w:szCs w:val="19"/>
              </w:rPr>
            </w:pPr>
            <w:r>
              <w:rPr>
                <w:sz w:val="19"/>
                <w:szCs w:val="19"/>
              </w:rPr>
              <w:t>G</w:t>
            </w:r>
          </w:p>
        </w:tc>
      </w:tr>
      <w:tr w:rsidR="00BB7A71" w14:paraId="603A4B2F" w14:textId="77777777" w:rsidTr="00BB7A71">
        <w:trPr>
          <w:trHeight w:val="276"/>
        </w:trPr>
        <w:tc>
          <w:tcPr>
            <w:tcW w:w="5000" w:type="pct"/>
            <w:gridSpan w:val="6"/>
            <w:vAlign w:val="center"/>
          </w:tcPr>
          <w:p w14:paraId="0029D76E" w14:textId="0408B5D1" w:rsidR="002F6029" w:rsidRPr="008754E4" w:rsidRDefault="00975DC9" w:rsidP="003167B0">
            <w:pPr>
              <w:pStyle w:val="GoalLeads"/>
            </w:pPr>
            <w:r w:rsidRPr="00975DC9">
              <w:t xml:space="preserve">Organization/ Lead Person: a. </w:t>
            </w:r>
            <w:r w:rsidR="003167B0">
              <w:t>Unassigned, MDE</w:t>
            </w:r>
            <w:r w:rsidRPr="00975DC9">
              <w:t xml:space="preserve">; b. </w:t>
            </w:r>
            <w:r w:rsidR="003167B0">
              <w:t>Unassigned, MDE</w:t>
            </w:r>
            <w:r w:rsidRPr="00975DC9">
              <w:t xml:space="preserve">; c. Buddy Daughdrill, MPHA; Kay Henry, MSDH; d. Larry Smith, MSDH Office of Performance Improvement; e. </w:t>
            </w:r>
            <w:r w:rsidR="003167B0">
              <w:t>Unassigned, MDE</w:t>
            </w:r>
            <w:r w:rsidRPr="00975DC9">
              <w:t xml:space="preserve">; f. </w:t>
            </w:r>
            <w:r w:rsidR="003167B0">
              <w:t>Unassigned, MDE</w:t>
            </w:r>
          </w:p>
        </w:tc>
      </w:tr>
    </w:tbl>
    <w:p w14:paraId="071BF92E" w14:textId="77777777" w:rsidR="002F6029" w:rsidRDefault="002F6029" w:rsidP="00961649">
      <w:pPr>
        <w:pStyle w:val="H3Blue"/>
        <w:rPr>
          <w:szCs w:val="23"/>
        </w:rPr>
      </w:pPr>
    </w:p>
    <w:p w14:paraId="1F4787A1" w14:textId="77777777" w:rsidR="00961649" w:rsidRPr="00494AF9" w:rsidRDefault="00961649" w:rsidP="00961649">
      <w:pPr>
        <w:pStyle w:val="H3Blue"/>
        <w:rPr>
          <w:szCs w:val="23"/>
        </w:rPr>
      </w:pPr>
      <w:r w:rsidRPr="00494AF9">
        <w:rPr>
          <w:szCs w:val="23"/>
        </w:rPr>
        <w:t>Status will be reviewed using a stoplight approach as follows:</w:t>
      </w:r>
    </w:p>
    <w:p w14:paraId="162AF96B" w14:textId="77777777" w:rsidR="00961649" w:rsidRPr="00494AF9" w:rsidRDefault="00961649" w:rsidP="00961649">
      <w:pPr>
        <w:pStyle w:val="H3Blue"/>
        <w:rPr>
          <w:szCs w:val="23"/>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579"/>
        <w:gridCol w:w="4578"/>
        <w:gridCol w:w="4579"/>
      </w:tblGrid>
      <w:tr w:rsidR="00961649" w14:paraId="1F32B09C" w14:textId="77777777" w:rsidTr="00DF6E34">
        <w:trPr>
          <w:trHeight w:val="267"/>
        </w:trPr>
        <w:tc>
          <w:tcPr>
            <w:tcW w:w="4579" w:type="dxa"/>
            <w:shd w:val="clear" w:color="auto" w:fill="F58668"/>
            <w:vAlign w:val="center"/>
          </w:tcPr>
          <w:p w14:paraId="09AF2DC1" w14:textId="77777777" w:rsidR="00961649" w:rsidRPr="00FE1C08" w:rsidRDefault="00961649" w:rsidP="00DF6E34">
            <w:pPr>
              <w:pStyle w:val="H3Blue"/>
              <w:rPr>
                <w:color w:val="000000" w:themeColor="text1"/>
                <w:sz w:val="20"/>
                <w:szCs w:val="20"/>
              </w:rPr>
            </w:pPr>
            <w:r w:rsidRPr="00FE1C08">
              <w:rPr>
                <w:color w:val="000000" w:themeColor="text1"/>
                <w:sz w:val="20"/>
                <w:szCs w:val="20"/>
              </w:rPr>
              <w:t>Red: Not On Target</w:t>
            </w:r>
          </w:p>
        </w:tc>
        <w:tc>
          <w:tcPr>
            <w:tcW w:w="4578" w:type="dxa"/>
            <w:shd w:val="clear" w:color="auto" w:fill="F9F289"/>
            <w:vAlign w:val="center"/>
          </w:tcPr>
          <w:p w14:paraId="207AFB37" w14:textId="77777777" w:rsidR="00961649" w:rsidRPr="00FE1C08" w:rsidRDefault="00961649" w:rsidP="003D32C7">
            <w:pPr>
              <w:pStyle w:val="H3Blue"/>
              <w:rPr>
                <w:color w:val="000000" w:themeColor="text1"/>
                <w:sz w:val="20"/>
                <w:szCs w:val="20"/>
              </w:rPr>
            </w:pPr>
            <w:r w:rsidRPr="00FE1C08">
              <w:rPr>
                <w:color w:val="000000" w:themeColor="text1"/>
                <w:sz w:val="20"/>
                <w:szCs w:val="20"/>
              </w:rPr>
              <w:t>Yellow: Falling Behind</w:t>
            </w:r>
          </w:p>
        </w:tc>
        <w:tc>
          <w:tcPr>
            <w:tcW w:w="4579" w:type="dxa"/>
            <w:shd w:val="clear" w:color="auto" w:fill="89CA8E"/>
            <w:vAlign w:val="center"/>
          </w:tcPr>
          <w:p w14:paraId="29042601" w14:textId="77777777" w:rsidR="00961649" w:rsidRPr="00FE1C08" w:rsidRDefault="00961649" w:rsidP="003D32C7">
            <w:pPr>
              <w:pStyle w:val="H3Blue"/>
              <w:rPr>
                <w:color w:val="000000" w:themeColor="text1"/>
                <w:sz w:val="20"/>
                <w:szCs w:val="20"/>
              </w:rPr>
            </w:pPr>
            <w:r w:rsidRPr="00FE1C08">
              <w:rPr>
                <w:color w:val="000000" w:themeColor="text1"/>
                <w:sz w:val="20"/>
                <w:szCs w:val="20"/>
              </w:rPr>
              <w:t>Green: On Target</w:t>
            </w:r>
          </w:p>
        </w:tc>
      </w:tr>
    </w:tbl>
    <w:p w14:paraId="569757B3" w14:textId="77777777" w:rsidR="00A4550B" w:rsidRDefault="00A4550B" w:rsidP="00B84F78">
      <w:pPr>
        <w:spacing w:line="260" w:lineRule="exact"/>
        <w:rPr>
          <w:sz w:val="11"/>
          <w:szCs w:val="11"/>
        </w:rPr>
      </w:pPr>
    </w:p>
    <w:p w14:paraId="3FCB0AC8" w14:textId="277D6443" w:rsidR="00B84F78" w:rsidRPr="00B84F78" w:rsidRDefault="00B84F78" w:rsidP="00B84F78">
      <w:pPr>
        <w:spacing w:line="260" w:lineRule="exact"/>
        <w:rPr>
          <w:b/>
          <w:bCs/>
          <w:sz w:val="19"/>
          <w:szCs w:val="19"/>
        </w:rPr>
      </w:pPr>
      <w:r w:rsidRPr="00B84F78">
        <w:rPr>
          <w:b/>
          <w:bCs/>
          <w:sz w:val="19"/>
          <w:szCs w:val="19"/>
        </w:rPr>
        <w:t xml:space="preserve">COORDINATING CO-CHAIRS: </w:t>
      </w:r>
      <w:r w:rsidR="00C6491B">
        <w:rPr>
          <w:bCs/>
          <w:sz w:val="19"/>
          <w:szCs w:val="19"/>
        </w:rPr>
        <w:t>Paige Ward</w:t>
      </w:r>
      <w:r w:rsidRPr="00B84F78">
        <w:rPr>
          <w:bCs/>
          <w:sz w:val="19"/>
          <w:szCs w:val="19"/>
        </w:rPr>
        <w:t xml:space="preserve">, MSDH; </w:t>
      </w:r>
      <w:r w:rsidR="00C6491B">
        <w:rPr>
          <w:bCs/>
          <w:sz w:val="19"/>
          <w:szCs w:val="19"/>
        </w:rPr>
        <w:t>Rita Wray</w:t>
      </w:r>
      <w:r w:rsidRPr="00B84F78">
        <w:rPr>
          <w:bCs/>
          <w:sz w:val="19"/>
          <w:szCs w:val="19"/>
        </w:rPr>
        <w:t xml:space="preserve">, Wray Enterprises Inc.; Joshua Mann, UMMC </w:t>
      </w:r>
    </w:p>
    <w:p w14:paraId="03C1EFE1" w14:textId="66AD5726" w:rsidR="00D00741" w:rsidRPr="00B84F78" w:rsidRDefault="00B84F78" w:rsidP="00B84F78">
      <w:pPr>
        <w:spacing w:line="260" w:lineRule="exact"/>
        <w:rPr>
          <w:b/>
          <w:bCs/>
          <w:sz w:val="19"/>
          <w:szCs w:val="19"/>
        </w:rPr>
      </w:pPr>
      <w:r w:rsidRPr="00B84F78">
        <w:rPr>
          <w:b/>
          <w:bCs/>
          <w:sz w:val="19"/>
          <w:szCs w:val="19"/>
        </w:rPr>
        <w:t xml:space="preserve">PARTNERS AND STAKEHOLDERS: </w:t>
      </w:r>
      <w:r w:rsidRPr="00B84F78">
        <w:rPr>
          <w:bCs/>
          <w:sz w:val="19"/>
          <w:szCs w:val="19"/>
        </w:rPr>
        <w:t xml:space="preserve">Buddy Daughdrill, MPHA; Timothy Plummer, U.S. Dept. of Housing and Urban Development; Purvie Green, MDAC; Kay Henry, MSDH; Jim Craig, MSDH; </w:t>
      </w:r>
      <w:r w:rsidR="00E32633">
        <w:rPr>
          <w:bCs/>
          <w:sz w:val="19"/>
          <w:szCs w:val="19"/>
        </w:rPr>
        <w:t>Liz Sharl</w:t>
      </w:r>
      <w:r w:rsidRPr="00B84F78">
        <w:rPr>
          <w:bCs/>
          <w:sz w:val="19"/>
          <w:szCs w:val="19"/>
        </w:rPr>
        <w:t>ot, MSDH; Victor Sutton, MSDH; Ellen Jones, MSPHI; Breanne Hancock, MSDH; Thad Waites, Board of Health</w:t>
      </w:r>
      <w:r w:rsidR="00E32633">
        <w:rPr>
          <w:bCs/>
          <w:sz w:val="19"/>
          <w:szCs w:val="19"/>
        </w:rPr>
        <w:t xml:space="preserve">; </w:t>
      </w:r>
      <w:r w:rsidRPr="00B84F78">
        <w:rPr>
          <w:bCs/>
          <w:sz w:val="19"/>
          <w:szCs w:val="19"/>
        </w:rPr>
        <w:t xml:space="preserve">Murray Harber, MS Business Group on Health; Ryan Kelly, Mississippi Rural Health Association; </w:t>
      </w:r>
      <w:r w:rsidR="003167B0">
        <w:rPr>
          <w:bCs/>
          <w:sz w:val="19"/>
          <w:szCs w:val="19"/>
        </w:rPr>
        <w:t xml:space="preserve">Brad Martin, MSDH; Dr. Michael Forster, USM School of Social Work; Laciana McIntyre, Partnership for a Healthy Mississippi; Richard </w:t>
      </w:r>
      <w:proofErr w:type="spellStart"/>
      <w:r w:rsidR="003167B0">
        <w:rPr>
          <w:bCs/>
          <w:sz w:val="19"/>
          <w:szCs w:val="19"/>
        </w:rPr>
        <w:t>Duggin</w:t>
      </w:r>
      <w:proofErr w:type="spellEnd"/>
      <w:r w:rsidR="003167B0">
        <w:rPr>
          <w:bCs/>
          <w:sz w:val="19"/>
          <w:szCs w:val="19"/>
        </w:rPr>
        <w:t xml:space="preserve">, </w:t>
      </w:r>
      <w:r w:rsidR="00583635">
        <w:rPr>
          <w:bCs/>
          <w:sz w:val="19"/>
          <w:szCs w:val="19"/>
        </w:rPr>
        <w:t>Community Counseling Services</w:t>
      </w:r>
      <w:r w:rsidR="00C6491B">
        <w:rPr>
          <w:bCs/>
          <w:sz w:val="19"/>
          <w:szCs w:val="19"/>
        </w:rPr>
        <w:br/>
      </w:r>
    </w:p>
    <w:sectPr w:rsidR="00D00741" w:rsidRPr="00B84F78" w:rsidSect="004D6D3E">
      <w:footerReference w:type="default" r:id="rId8"/>
      <w:pgSz w:w="15840" w:h="12240" w:orient="landscape"/>
      <w:pgMar w:top="720" w:right="720" w:bottom="135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3B5FF" w14:textId="77777777" w:rsidR="000E0CD5" w:rsidRDefault="000E0CD5" w:rsidP="00A35886">
      <w:pPr>
        <w:spacing w:after="0" w:line="240" w:lineRule="auto"/>
      </w:pPr>
      <w:r>
        <w:separator/>
      </w:r>
    </w:p>
  </w:endnote>
  <w:endnote w:type="continuationSeparator" w:id="0">
    <w:p w14:paraId="38981377" w14:textId="77777777" w:rsidR="000E0CD5" w:rsidRDefault="000E0CD5" w:rsidP="00A3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cho">
    <w:charset w:val="00"/>
    <w:family w:val="auto"/>
    <w:pitch w:val="variable"/>
    <w:sig w:usb0="00000207" w:usb1="00000001"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936C5" w14:textId="2F89E9DB" w:rsidR="00A35886" w:rsidRDefault="00A35886" w:rsidP="00A35886">
    <w:pPr>
      <w:pStyle w:val="FooterSlogan"/>
    </w:pPr>
    <w:r>
      <w:rPr>
        <w:noProof/>
      </w:rPr>
      <w:drawing>
        <wp:inline distT="0" distB="0" distL="0" distR="0" wp14:anchorId="56ED0F2E" wp14:editId="0C7393D7">
          <wp:extent cx="733425" cy="349523"/>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root_logo.jpg"/>
                  <pic:cNvPicPr/>
                </pic:nvPicPr>
                <pic:blipFill>
                  <a:blip r:embed="rId1">
                    <a:extLst>
                      <a:ext uri="{28A0092B-C50C-407E-A947-70E740481C1C}">
                        <a14:useLocalDpi xmlns:a14="http://schemas.microsoft.com/office/drawing/2010/main" val="0"/>
                      </a:ext>
                    </a:extLst>
                  </a:blip>
                  <a:stretch>
                    <a:fillRect/>
                  </a:stretch>
                </pic:blipFill>
                <pic:spPr>
                  <a:xfrm>
                    <a:off x="0" y="0"/>
                    <a:ext cx="774243" cy="368975"/>
                  </a:xfrm>
                  <a:prstGeom prst="rect">
                    <a:avLst/>
                  </a:prstGeom>
                </pic:spPr>
              </pic:pic>
            </a:graphicData>
          </a:graphic>
        </wp:inline>
      </w:drawing>
    </w:r>
    <w:r w:rsidR="00685E55">
      <w:t xml:space="preserve">     </w:t>
    </w:r>
    <w:r w:rsidRPr="00A35886">
      <w:t>Building a healthier Mississippi from the ground UP.</w:t>
    </w:r>
    <w:r>
      <w:t xml:space="preserve">                         </w:t>
    </w:r>
    <w:r w:rsidR="00685E55">
      <w:t xml:space="preserve">                                                  </w:t>
    </w:r>
    <w:r w:rsidRPr="00A35886">
      <w:rPr>
        <w:color w:val="F47757"/>
      </w:rPr>
      <w:t>uprootms.org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60DE4" w14:textId="77777777" w:rsidR="000E0CD5" w:rsidRDefault="000E0CD5" w:rsidP="00A35886">
      <w:pPr>
        <w:spacing w:after="0" w:line="240" w:lineRule="auto"/>
      </w:pPr>
      <w:r>
        <w:separator/>
      </w:r>
    </w:p>
  </w:footnote>
  <w:footnote w:type="continuationSeparator" w:id="0">
    <w:p w14:paraId="21A81AFC" w14:textId="77777777" w:rsidR="000E0CD5" w:rsidRDefault="000E0CD5" w:rsidP="00A35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54976"/>
    <w:multiLevelType w:val="hybridMultilevel"/>
    <w:tmpl w:val="14EE4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C3C98"/>
    <w:multiLevelType w:val="hybridMultilevel"/>
    <w:tmpl w:val="76A29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89300B"/>
    <w:multiLevelType w:val="hybridMultilevel"/>
    <w:tmpl w:val="0436E8C0"/>
    <w:lvl w:ilvl="0" w:tplc="B8BCB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DA"/>
    <w:rsid w:val="00030680"/>
    <w:rsid w:val="00030BB7"/>
    <w:rsid w:val="00035F85"/>
    <w:rsid w:val="00037B40"/>
    <w:rsid w:val="00042B28"/>
    <w:rsid w:val="00044425"/>
    <w:rsid w:val="00095362"/>
    <w:rsid w:val="000A04AF"/>
    <w:rsid w:val="000C027B"/>
    <w:rsid w:val="000C2016"/>
    <w:rsid w:val="000C73BA"/>
    <w:rsid w:val="000D1DDD"/>
    <w:rsid w:val="000E0CD5"/>
    <w:rsid w:val="001103DF"/>
    <w:rsid w:val="0011592D"/>
    <w:rsid w:val="00120A41"/>
    <w:rsid w:val="00130E3C"/>
    <w:rsid w:val="00133724"/>
    <w:rsid w:val="001434AC"/>
    <w:rsid w:val="00172878"/>
    <w:rsid w:val="0019444C"/>
    <w:rsid w:val="001B4244"/>
    <w:rsid w:val="001C5DD8"/>
    <w:rsid w:val="001D181B"/>
    <w:rsid w:val="001D7605"/>
    <w:rsid w:val="001E3163"/>
    <w:rsid w:val="001E3354"/>
    <w:rsid w:val="001F13A9"/>
    <w:rsid w:val="00200DC9"/>
    <w:rsid w:val="002374BB"/>
    <w:rsid w:val="00247E50"/>
    <w:rsid w:val="0029720F"/>
    <w:rsid w:val="002A1498"/>
    <w:rsid w:val="002B42F5"/>
    <w:rsid w:val="002B5755"/>
    <w:rsid w:val="002B67D2"/>
    <w:rsid w:val="002D3783"/>
    <w:rsid w:val="002E55BD"/>
    <w:rsid w:val="002F6029"/>
    <w:rsid w:val="00300FD7"/>
    <w:rsid w:val="00304CD2"/>
    <w:rsid w:val="003100B1"/>
    <w:rsid w:val="00314215"/>
    <w:rsid w:val="00315ACE"/>
    <w:rsid w:val="003167B0"/>
    <w:rsid w:val="00351482"/>
    <w:rsid w:val="00354D4D"/>
    <w:rsid w:val="00356CE5"/>
    <w:rsid w:val="00373BD0"/>
    <w:rsid w:val="003C6A92"/>
    <w:rsid w:val="003D4929"/>
    <w:rsid w:val="003E1086"/>
    <w:rsid w:val="003E23FD"/>
    <w:rsid w:val="003F575B"/>
    <w:rsid w:val="00440CD3"/>
    <w:rsid w:val="00440FC1"/>
    <w:rsid w:val="00466EE2"/>
    <w:rsid w:val="00492409"/>
    <w:rsid w:val="0049319D"/>
    <w:rsid w:val="00494AF9"/>
    <w:rsid w:val="004A3EDA"/>
    <w:rsid w:val="004A7993"/>
    <w:rsid w:val="004D05D9"/>
    <w:rsid w:val="004D6D3E"/>
    <w:rsid w:val="004E6D0B"/>
    <w:rsid w:val="004F62EC"/>
    <w:rsid w:val="00570B22"/>
    <w:rsid w:val="00583635"/>
    <w:rsid w:val="005A7CE2"/>
    <w:rsid w:val="005B4500"/>
    <w:rsid w:val="005C3BBB"/>
    <w:rsid w:val="005E24BF"/>
    <w:rsid w:val="00617DC3"/>
    <w:rsid w:val="006345EC"/>
    <w:rsid w:val="00651FD1"/>
    <w:rsid w:val="006548C1"/>
    <w:rsid w:val="006727B3"/>
    <w:rsid w:val="006816CC"/>
    <w:rsid w:val="00685E55"/>
    <w:rsid w:val="006B0156"/>
    <w:rsid w:val="006B4A8F"/>
    <w:rsid w:val="006C1828"/>
    <w:rsid w:val="006C3690"/>
    <w:rsid w:val="006D6874"/>
    <w:rsid w:val="006E47C2"/>
    <w:rsid w:val="006E5D5E"/>
    <w:rsid w:val="006F4543"/>
    <w:rsid w:val="00753B55"/>
    <w:rsid w:val="0075791E"/>
    <w:rsid w:val="00776CB2"/>
    <w:rsid w:val="007E769A"/>
    <w:rsid w:val="007F3E02"/>
    <w:rsid w:val="007F6BBB"/>
    <w:rsid w:val="00816958"/>
    <w:rsid w:val="00822D3B"/>
    <w:rsid w:val="00830845"/>
    <w:rsid w:val="00842258"/>
    <w:rsid w:val="008615A9"/>
    <w:rsid w:val="008754E4"/>
    <w:rsid w:val="00882CE4"/>
    <w:rsid w:val="008A155C"/>
    <w:rsid w:val="008C3C4D"/>
    <w:rsid w:val="008D0C67"/>
    <w:rsid w:val="008D1BD3"/>
    <w:rsid w:val="008D5C30"/>
    <w:rsid w:val="008D68DD"/>
    <w:rsid w:val="008E06E2"/>
    <w:rsid w:val="00902622"/>
    <w:rsid w:val="00906A50"/>
    <w:rsid w:val="00933D81"/>
    <w:rsid w:val="00941345"/>
    <w:rsid w:val="009425A6"/>
    <w:rsid w:val="00961649"/>
    <w:rsid w:val="00975DC9"/>
    <w:rsid w:val="00984D62"/>
    <w:rsid w:val="0099142A"/>
    <w:rsid w:val="009976F6"/>
    <w:rsid w:val="00A016A6"/>
    <w:rsid w:val="00A025BA"/>
    <w:rsid w:val="00A2008A"/>
    <w:rsid w:val="00A30B27"/>
    <w:rsid w:val="00A35886"/>
    <w:rsid w:val="00A35E6A"/>
    <w:rsid w:val="00A4550B"/>
    <w:rsid w:val="00AC3A89"/>
    <w:rsid w:val="00AD4F6D"/>
    <w:rsid w:val="00AD648E"/>
    <w:rsid w:val="00B04154"/>
    <w:rsid w:val="00B23FD0"/>
    <w:rsid w:val="00B43353"/>
    <w:rsid w:val="00B46528"/>
    <w:rsid w:val="00B52887"/>
    <w:rsid w:val="00B7414E"/>
    <w:rsid w:val="00B84F78"/>
    <w:rsid w:val="00B86533"/>
    <w:rsid w:val="00BA15A5"/>
    <w:rsid w:val="00BB251C"/>
    <w:rsid w:val="00BB7A71"/>
    <w:rsid w:val="00BC2366"/>
    <w:rsid w:val="00BE5068"/>
    <w:rsid w:val="00C03C0F"/>
    <w:rsid w:val="00C6491B"/>
    <w:rsid w:val="00C978BB"/>
    <w:rsid w:val="00CA2E42"/>
    <w:rsid w:val="00CB36FE"/>
    <w:rsid w:val="00CC08D6"/>
    <w:rsid w:val="00CE5A6C"/>
    <w:rsid w:val="00CE5DF5"/>
    <w:rsid w:val="00D00741"/>
    <w:rsid w:val="00D079BB"/>
    <w:rsid w:val="00D25AD4"/>
    <w:rsid w:val="00D27D4E"/>
    <w:rsid w:val="00D33B62"/>
    <w:rsid w:val="00D353C0"/>
    <w:rsid w:val="00D374C9"/>
    <w:rsid w:val="00D42A5B"/>
    <w:rsid w:val="00D541E4"/>
    <w:rsid w:val="00D60B29"/>
    <w:rsid w:val="00D703E9"/>
    <w:rsid w:val="00D75C51"/>
    <w:rsid w:val="00DC1E07"/>
    <w:rsid w:val="00DD432B"/>
    <w:rsid w:val="00DF6E34"/>
    <w:rsid w:val="00E055D1"/>
    <w:rsid w:val="00E20C99"/>
    <w:rsid w:val="00E311B2"/>
    <w:rsid w:val="00E32633"/>
    <w:rsid w:val="00E6720D"/>
    <w:rsid w:val="00E92583"/>
    <w:rsid w:val="00EA19D3"/>
    <w:rsid w:val="00F070BF"/>
    <w:rsid w:val="00F51ED8"/>
    <w:rsid w:val="00F640B1"/>
    <w:rsid w:val="00FA39DE"/>
    <w:rsid w:val="00FC1F10"/>
    <w:rsid w:val="00FE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547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902622"/>
    <w:pPr>
      <w:suppressAutoHyphens/>
      <w:spacing w:after="180" w:line="300" w:lineRule="exact"/>
    </w:pPr>
    <w:rPr>
      <w:rFonts w:ascii="Verdana" w:hAnsi="Verdana"/>
      <w:sz w:val="20"/>
    </w:rPr>
  </w:style>
  <w:style w:type="paragraph" w:styleId="Heading2">
    <w:name w:val="heading 2"/>
    <w:aliases w:val="H"/>
    <w:next w:val="Normal"/>
    <w:link w:val="Heading2Char"/>
    <w:uiPriority w:val="9"/>
    <w:unhideWhenUsed/>
    <w:qFormat/>
    <w:rsid w:val="006E5D5E"/>
    <w:pPr>
      <w:keepNext/>
      <w:keepLines/>
      <w:spacing w:before="40"/>
      <w:outlineLvl w:val="1"/>
    </w:pPr>
    <w:rPr>
      <w:rFonts w:ascii="Verdana" w:eastAsiaTheme="majorEastAsia" w:hAnsi="Verdana" w:cstheme="majorBidi"/>
      <w:b/>
      <w:bCs/>
      <w:color w:val="F47757"/>
      <w:sz w:val="3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Green">
    <w:name w:val="H3 Green"/>
    <w:qFormat/>
    <w:rsid w:val="00D33B62"/>
    <w:pPr>
      <w:spacing w:after="90"/>
    </w:pPr>
    <w:rPr>
      <w:rFonts w:ascii="Verdana" w:hAnsi="Verdana"/>
      <w:b/>
      <w:bCs/>
      <w:color w:val="70AD47" w:themeColor="accent6"/>
      <w:sz w:val="29"/>
    </w:rPr>
  </w:style>
  <w:style w:type="character" w:customStyle="1" w:styleId="Heading2Char">
    <w:name w:val="Heading 2 Char"/>
    <w:aliases w:val="H Char"/>
    <w:basedOn w:val="DefaultParagraphFont"/>
    <w:link w:val="Heading2"/>
    <w:uiPriority w:val="9"/>
    <w:rsid w:val="006E5D5E"/>
    <w:rPr>
      <w:rFonts w:ascii="Verdana" w:eastAsiaTheme="majorEastAsia" w:hAnsi="Verdana" w:cstheme="majorBidi"/>
      <w:b/>
      <w:bCs/>
      <w:color w:val="F47757"/>
      <w:sz w:val="33"/>
      <w:szCs w:val="26"/>
    </w:rPr>
  </w:style>
  <w:style w:type="paragraph" w:customStyle="1" w:styleId="H2Orange">
    <w:name w:val="H2 Orange"/>
    <w:basedOn w:val="Heading2"/>
    <w:qFormat/>
    <w:rsid w:val="00D33B62"/>
    <w:pPr>
      <w:spacing w:before="0" w:after="90"/>
    </w:pPr>
  </w:style>
  <w:style w:type="paragraph" w:customStyle="1" w:styleId="H3Blue">
    <w:name w:val="H3 Blue"/>
    <w:basedOn w:val="Heading2"/>
    <w:qFormat/>
    <w:rsid w:val="006E5D5E"/>
    <w:pPr>
      <w:spacing w:before="3" w:after="1"/>
    </w:pPr>
    <w:rPr>
      <w:color w:val="00A89D"/>
      <w:sz w:val="23"/>
    </w:rPr>
  </w:style>
  <w:style w:type="paragraph" w:customStyle="1" w:styleId="BodySource">
    <w:name w:val="Body Source"/>
    <w:basedOn w:val="Normal"/>
    <w:qFormat/>
    <w:rsid w:val="00F640B1"/>
    <w:rPr>
      <w:i/>
      <w:sz w:val="19"/>
    </w:rPr>
  </w:style>
  <w:style w:type="paragraph" w:styleId="Header">
    <w:name w:val="header"/>
    <w:basedOn w:val="Normal"/>
    <w:link w:val="HeaderChar"/>
    <w:uiPriority w:val="99"/>
    <w:unhideWhenUsed/>
    <w:rsid w:val="00A3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86"/>
    <w:rPr>
      <w:rFonts w:ascii="Verdana" w:hAnsi="Verdana"/>
      <w:sz w:val="21"/>
    </w:rPr>
  </w:style>
  <w:style w:type="paragraph" w:styleId="Footer">
    <w:name w:val="footer"/>
    <w:basedOn w:val="Normal"/>
    <w:link w:val="FooterChar"/>
    <w:uiPriority w:val="99"/>
    <w:unhideWhenUsed/>
    <w:rsid w:val="00A3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86"/>
    <w:rPr>
      <w:rFonts w:ascii="Verdana" w:hAnsi="Verdana"/>
      <w:sz w:val="21"/>
    </w:rPr>
  </w:style>
  <w:style w:type="paragraph" w:customStyle="1" w:styleId="FooterSlogan">
    <w:name w:val="Footer Slogan"/>
    <w:basedOn w:val="Normal"/>
    <w:rsid w:val="00A35886"/>
    <w:pPr>
      <w:suppressAutoHyphens w:val="0"/>
      <w:spacing w:before="203" w:after="90" w:line="225" w:lineRule="atLeast"/>
    </w:pPr>
    <w:rPr>
      <w:rFonts w:cs="Times New Roman"/>
      <w:b/>
      <w:bCs/>
      <w:color w:val="91CCC9"/>
      <w:sz w:val="19"/>
      <w:szCs w:val="15"/>
    </w:rPr>
  </w:style>
  <w:style w:type="character" w:customStyle="1" w:styleId="s1">
    <w:name w:val="s1"/>
    <w:basedOn w:val="DefaultParagraphFont"/>
    <w:rsid w:val="00A35886"/>
    <w:rPr>
      <w:rFonts w:ascii="Macho" w:hAnsi="Macho" w:hint="default"/>
      <w:sz w:val="15"/>
      <w:szCs w:val="15"/>
    </w:rPr>
  </w:style>
  <w:style w:type="table" w:styleId="TableGrid">
    <w:name w:val="Table Grid"/>
    <w:basedOn w:val="TableNormal"/>
    <w:uiPriority w:val="39"/>
    <w:rsid w:val="00753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53B55"/>
    <w:pPr>
      <w:suppressAutoHyphens w:val="0"/>
      <w:spacing w:after="135" w:line="225" w:lineRule="atLeast"/>
    </w:pPr>
    <w:rPr>
      <w:rFonts w:ascii="Macho" w:hAnsi="Macho" w:cs="Times New Roman"/>
      <w:sz w:val="17"/>
      <w:szCs w:val="17"/>
    </w:rPr>
  </w:style>
  <w:style w:type="paragraph" w:customStyle="1" w:styleId="p2">
    <w:name w:val="p2"/>
    <w:basedOn w:val="Normal"/>
    <w:rsid w:val="00753B55"/>
    <w:pPr>
      <w:suppressAutoHyphens w:val="0"/>
      <w:spacing w:after="203" w:line="225" w:lineRule="atLeast"/>
    </w:pPr>
    <w:rPr>
      <w:rFonts w:ascii="Macho" w:hAnsi="Macho" w:cs="Times New Roman"/>
      <w:sz w:val="15"/>
      <w:szCs w:val="15"/>
    </w:rPr>
  </w:style>
  <w:style w:type="paragraph" w:styleId="ListParagraph">
    <w:name w:val="List Paragraph"/>
    <w:basedOn w:val="Normal"/>
    <w:uiPriority w:val="34"/>
    <w:qFormat/>
    <w:rsid w:val="008754E4"/>
    <w:pPr>
      <w:ind w:left="720"/>
      <w:contextualSpacing/>
    </w:pPr>
  </w:style>
  <w:style w:type="paragraph" w:customStyle="1" w:styleId="Style1">
    <w:name w:val="Style1"/>
    <w:basedOn w:val="ListParagraph"/>
    <w:autoRedefine/>
    <w:qFormat/>
    <w:rsid w:val="00BA15A5"/>
    <w:pPr>
      <w:tabs>
        <w:tab w:val="left" w:pos="3020"/>
      </w:tabs>
      <w:spacing w:after="120" w:line="260" w:lineRule="exact"/>
      <w:ind w:left="0"/>
      <w:contextualSpacing w:val="0"/>
    </w:pPr>
    <w:rPr>
      <w:spacing w:val="-4"/>
      <w:kern w:val="19"/>
      <w:sz w:val="19"/>
      <w:szCs w:val="19"/>
    </w:rPr>
  </w:style>
  <w:style w:type="character" w:customStyle="1" w:styleId="apple-converted-space">
    <w:name w:val="apple-converted-space"/>
    <w:basedOn w:val="DefaultParagraphFont"/>
    <w:rsid w:val="008D5C30"/>
  </w:style>
  <w:style w:type="paragraph" w:customStyle="1" w:styleId="GoalLeads">
    <w:name w:val="Goal Leads"/>
    <w:basedOn w:val="Normal"/>
    <w:qFormat/>
    <w:rsid w:val="00D353C0"/>
    <w:pPr>
      <w:suppressAutoHyphens w:val="0"/>
      <w:spacing w:after="0" w:line="210" w:lineRule="atLeast"/>
    </w:pPr>
    <w:rPr>
      <w:rFonts w:cs="Times New Roman"/>
      <w:color w:val="00B4AC"/>
      <w:sz w:val="18"/>
      <w:szCs w:val="18"/>
    </w:rPr>
  </w:style>
  <w:style w:type="paragraph" w:styleId="BalloonText">
    <w:name w:val="Balloon Text"/>
    <w:basedOn w:val="Normal"/>
    <w:link w:val="BalloonTextChar"/>
    <w:uiPriority w:val="99"/>
    <w:semiHidden/>
    <w:unhideWhenUsed/>
    <w:rsid w:val="00984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D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902622"/>
    <w:pPr>
      <w:suppressAutoHyphens/>
      <w:spacing w:after="180" w:line="300" w:lineRule="exact"/>
    </w:pPr>
    <w:rPr>
      <w:rFonts w:ascii="Verdana" w:hAnsi="Verdana"/>
      <w:sz w:val="20"/>
    </w:rPr>
  </w:style>
  <w:style w:type="paragraph" w:styleId="Heading2">
    <w:name w:val="heading 2"/>
    <w:aliases w:val="H"/>
    <w:next w:val="Normal"/>
    <w:link w:val="Heading2Char"/>
    <w:uiPriority w:val="9"/>
    <w:unhideWhenUsed/>
    <w:qFormat/>
    <w:rsid w:val="006E5D5E"/>
    <w:pPr>
      <w:keepNext/>
      <w:keepLines/>
      <w:spacing w:before="40"/>
      <w:outlineLvl w:val="1"/>
    </w:pPr>
    <w:rPr>
      <w:rFonts w:ascii="Verdana" w:eastAsiaTheme="majorEastAsia" w:hAnsi="Verdana" w:cstheme="majorBidi"/>
      <w:b/>
      <w:bCs/>
      <w:color w:val="F47757"/>
      <w:sz w:val="3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Green">
    <w:name w:val="H3 Green"/>
    <w:qFormat/>
    <w:rsid w:val="00D33B62"/>
    <w:pPr>
      <w:spacing w:after="90"/>
    </w:pPr>
    <w:rPr>
      <w:rFonts w:ascii="Verdana" w:hAnsi="Verdana"/>
      <w:b/>
      <w:bCs/>
      <w:color w:val="70AD47" w:themeColor="accent6"/>
      <w:sz w:val="29"/>
    </w:rPr>
  </w:style>
  <w:style w:type="character" w:customStyle="1" w:styleId="Heading2Char">
    <w:name w:val="Heading 2 Char"/>
    <w:aliases w:val="H Char"/>
    <w:basedOn w:val="DefaultParagraphFont"/>
    <w:link w:val="Heading2"/>
    <w:uiPriority w:val="9"/>
    <w:rsid w:val="006E5D5E"/>
    <w:rPr>
      <w:rFonts w:ascii="Verdana" w:eastAsiaTheme="majorEastAsia" w:hAnsi="Verdana" w:cstheme="majorBidi"/>
      <w:b/>
      <w:bCs/>
      <w:color w:val="F47757"/>
      <w:sz w:val="33"/>
      <w:szCs w:val="26"/>
    </w:rPr>
  </w:style>
  <w:style w:type="paragraph" w:customStyle="1" w:styleId="H2Orange">
    <w:name w:val="H2 Orange"/>
    <w:basedOn w:val="Heading2"/>
    <w:qFormat/>
    <w:rsid w:val="00D33B62"/>
    <w:pPr>
      <w:spacing w:before="0" w:after="90"/>
    </w:pPr>
  </w:style>
  <w:style w:type="paragraph" w:customStyle="1" w:styleId="H3Blue">
    <w:name w:val="H3 Blue"/>
    <w:basedOn w:val="Heading2"/>
    <w:qFormat/>
    <w:rsid w:val="006E5D5E"/>
    <w:pPr>
      <w:spacing w:before="3" w:after="1"/>
    </w:pPr>
    <w:rPr>
      <w:color w:val="00A89D"/>
      <w:sz w:val="23"/>
    </w:rPr>
  </w:style>
  <w:style w:type="paragraph" w:customStyle="1" w:styleId="BodySource">
    <w:name w:val="Body Source"/>
    <w:basedOn w:val="Normal"/>
    <w:qFormat/>
    <w:rsid w:val="00F640B1"/>
    <w:rPr>
      <w:i/>
      <w:sz w:val="19"/>
    </w:rPr>
  </w:style>
  <w:style w:type="paragraph" w:styleId="Header">
    <w:name w:val="header"/>
    <w:basedOn w:val="Normal"/>
    <w:link w:val="HeaderChar"/>
    <w:uiPriority w:val="99"/>
    <w:unhideWhenUsed/>
    <w:rsid w:val="00A3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86"/>
    <w:rPr>
      <w:rFonts w:ascii="Verdana" w:hAnsi="Verdana"/>
      <w:sz w:val="21"/>
    </w:rPr>
  </w:style>
  <w:style w:type="paragraph" w:styleId="Footer">
    <w:name w:val="footer"/>
    <w:basedOn w:val="Normal"/>
    <w:link w:val="FooterChar"/>
    <w:uiPriority w:val="99"/>
    <w:unhideWhenUsed/>
    <w:rsid w:val="00A3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86"/>
    <w:rPr>
      <w:rFonts w:ascii="Verdana" w:hAnsi="Verdana"/>
      <w:sz w:val="21"/>
    </w:rPr>
  </w:style>
  <w:style w:type="paragraph" w:customStyle="1" w:styleId="FooterSlogan">
    <w:name w:val="Footer Slogan"/>
    <w:basedOn w:val="Normal"/>
    <w:rsid w:val="00A35886"/>
    <w:pPr>
      <w:suppressAutoHyphens w:val="0"/>
      <w:spacing w:before="203" w:after="90" w:line="225" w:lineRule="atLeast"/>
    </w:pPr>
    <w:rPr>
      <w:rFonts w:cs="Times New Roman"/>
      <w:b/>
      <w:bCs/>
      <w:color w:val="91CCC9"/>
      <w:sz w:val="19"/>
      <w:szCs w:val="15"/>
    </w:rPr>
  </w:style>
  <w:style w:type="character" w:customStyle="1" w:styleId="s1">
    <w:name w:val="s1"/>
    <w:basedOn w:val="DefaultParagraphFont"/>
    <w:rsid w:val="00A35886"/>
    <w:rPr>
      <w:rFonts w:ascii="Macho" w:hAnsi="Macho" w:hint="default"/>
      <w:sz w:val="15"/>
      <w:szCs w:val="15"/>
    </w:rPr>
  </w:style>
  <w:style w:type="table" w:styleId="TableGrid">
    <w:name w:val="Table Grid"/>
    <w:basedOn w:val="TableNormal"/>
    <w:uiPriority w:val="39"/>
    <w:rsid w:val="00753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53B55"/>
    <w:pPr>
      <w:suppressAutoHyphens w:val="0"/>
      <w:spacing w:after="135" w:line="225" w:lineRule="atLeast"/>
    </w:pPr>
    <w:rPr>
      <w:rFonts w:ascii="Macho" w:hAnsi="Macho" w:cs="Times New Roman"/>
      <w:sz w:val="17"/>
      <w:szCs w:val="17"/>
    </w:rPr>
  </w:style>
  <w:style w:type="paragraph" w:customStyle="1" w:styleId="p2">
    <w:name w:val="p2"/>
    <w:basedOn w:val="Normal"/>
    <w:rsid w:val="00753B55"/>
    <w:pPr>
      <w:suppressAutoHyphens w:val="0"/>
      <w:spacing w:after="203" w:line="225" w:lineRule="atLeast"/>
    </w:pPr>
    <w:rPr>
      <w:rFonts w:ascii="Macho" w:hAnsi="Macho" w:cs="Times New Roman"/>
      <w:sz w:val="15"/>
      <w:szCs w:val="15"/>
    </w:rPr>
  </w:style>
  <w:style w:type="paragraph" w:styleId="ListParagraph">
    <w:name w:val="List Paragraph"/>
    <w:basedOn w:val="Normal"/>
    <w:uiPriority w:val="34"/>
    <w:qFormat/>
    <w:rsid w:val="008754E4"/>
    <w:pPr>
      <w:ind w:left="720"/>
      <w:contextualSpacing/>
    </w:pPr>
  </w:style>
  <w:style w:type="paragraph" w:customStyle="1" w:styleId="Style1">
    <w:name w:val="Style1"/>
    <w:basedOn w:val="ListParagraph"/>
    <w:autoRedefine/>
    <w:qFormat/>
    <w:rsid w:val="00BA15A5"/>
    <w:pPr>
      <w:tabs>
        <w:tab w:val="left" w:pos="3020"/>
      </w:tabs>
      <w:spacing w:after="120" w:line="260" w:lineRule="exact"/>
      <w:ind w:left="0"/>
      <w:contextualSpacing w:val="0"/>
    </w:pPr>
    <w:rPr>
      <w:spacing w:val="-4"/>
      <w:kern w:val="19"/>
      <w:sz w:val="19"/>
      <w:szCs w:val="19"/>
    </w:rPr>
  </w:style>
  <w:style w:type="character" w:customStyle="1" w:styleId="apple-converted-space">
    <w:name w:val="apple-converted-space"/>
    <w:basedOn w:val="DefaultParagraphFont"/>
    <w:rsid w:val="008D5C30"/>
  </w:style>
  <w:style w:type="paragraph" w:customStyle="1" w:styleId="GoalLeads">
    <w:name w:val="Goal Leads"/>
    <w:basedOn w:val="Normal"/>
    <w:qFormat/>
    <w:rsid w:val="00D353C0"/>
    <w:pPr>
      <w:suppressAutoHyphens w:val="0"/>
      <w:spacing w:after="0" w:line="210" w:lineRule="atLeast"/>
    </w:pPr>
    <w:rPr>
      <w:rFonts w:cs="Times New Roman"/>
      <w:color w:val="00B4AC"/>
      <w:sz w:val="18"/>
      <w:szCs w:val="18"/>
    </w:rPr>
  </w:style>
  <w:style w:type="paragraph" w:styleId="BalloonText">
    <w:name w:val="Balloon Text"/>
    <w:basedOn w:val="Normal"/>
    <w:link w:val="BalloonTextChar"/>
    <w:uiPriority w:val="99"/>
    <w:semiHidden/>
    <w:unhideWhenUsed/>
    <w:rsid w:val="00984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352">
      <w:bodyDiv w:val="1"/>
      <w:marLeft w:val="0"/>
      <w:marRight w:val="0"/>
      <w:marTop w:val="0"/>
      <w:marBottom w:val="0"/>
      <w:divBdr>
        <w:top w:val="none" w:sz="0" w:space="0" w:color="auto"/>
        <w:left w:val="none" w:sz="0" w:space="0" w:color="auto"/>
        <w:bottom w:val="none" w:sz="0" w:space="0" w:color="auto"/>
        <w:right w:val="none" w:sz="0" w:space="0" w:color="auto"/>
      </w:divBdr>
    </w:div>
    <w:div w:id="62528207">
      <w:bodyDiv w:val="1"/>
      <w:marLeft w:val="0"/>
      <w:marRight w:val="0"/>
      <w:marTop w:val="0"/>
      <w:marBottom w:val="0"/>
      <w:divBdr>
        <w:top w:val="none" w:sz="0" w:space="0" w:color="auto"/>
        <w:left w:val="none" w:sz="0" w:space="0" w:color="auto"/>
        <w:bottom w:val="none" w:sz="0" w:space="0" w:color="auto"/>
        <w:right w:val="none" w:sz="0" w:space="0" w:color="auto"/>
      </w:divBdr>
    </w:div>
    <w:div w:id="141703853">
      <w:bodyDiv w:val="1"/>
      <w:marLeft w:val="0"/>
      <w:marRight w:val="0"/>
      <w:marTop w:val="0"/>
      <w:marBottom w:val="0"/>
      <w:divBdr>
        <w:top w:val="none" w:sz="0" w:space="0" w:color="auto"/>
        <w:left w:val="none" w:sz="0" w:space="0" w:color="auto"/>
        <w:bottom w:val="none" w:sz="0" w:space="0" w:color="auto"/>
        <w:right w:val="none" w:sz="0" w:space="0" w:color="auto"/>
      </w:divBdr>
    </w:div>
    <w:div w:id="284044785">
      <w:bodyDiv w:val="1"/>
      <w:marLeft w:val="0"/>
      <w:marRight w:val="0"/>
      <w:marTop w:val="0"/>
      <w:marBottom w:val="0"/>
      <w:divBdr>
        <w:top w:val="none" w:sz="0" w:space="0" w:color="auto"/>
        <w:left w:val="none" w:sz="0" w:space="0" w:color="auto"/>
        <w:bottom w:val="none" w:sz="0" w:space="0" w:color="auto"/>
        <w:right w:val="none" w:sz="0" w:space="0" w:color="auto"/>
      </w:divBdr>
    </w:div>
    <w:div w:id="301353760">
      <w:bodyDiv w:val="1"/>
      <w:marLeft w:val="0"/>
      <w:marRight w:val="0"/>
      <w:marTop w:val="0"/>
      <w:marBottom w:val="0"/>
      <w:divBdr>
        <w:top w:val="none" w:sz="0" w:space="0" w:color="auto"/>
        <w:left w:val="none" w:sz="0" w:space="0" w:color="auto"/>
        <w:bottom w:val="none" w:sz="0" w:space="0" w:color="auto"/>
        <w:right w:val="none" w:sz="0" w:space="0" w:color="auto"/>
      </w:divBdr>
    </w:div>
    <w:div w:id="444813398">
      <w:bodyDiv w:val="1"/>
      <w:marLeft w:val="0"/>
      <w:marRight w:val="0"/>
      <w:marTop w:val="0"/>
      <w:marBottom w:val="0"/>
      <w:divBdr>
        <w:top w:val="none" w:sz="0" w:space="0" w:color="auto"/>
        <w:left w:val="none" w:sz="0" w:space="0" w:color="auto"/>
        <w:bottom w:val="none" w:sz="0" w:space="0" w:color="auto"/>
        <w:right w:val="none" w:sz="0" w:space="0" w:color="auto"/>
      </w:divBdr>
    </w:div>
    <w:div w:id="470445499">
      <w:bodyDiv w:val="1"/>
      <w:marLeft w:val="0"/>
      <w:marRight w:val="0"/>
      <w:marTop w:val="0"/>
      <w:marBottom w:val="0"/>
      <w:divBdr>
        <w:top w:val="none" w:sz="0" w:space="0" w:color="auto"/>
        <w:left w:val="none" w:sz="0" w:space="0" w:color="auto"/>
        <w:bottom w:val="none" w:sz="0" w:space="0" w:color="auto"/>
        <w:right w:val="none" w:sz="0" w:space="0" w:color="auto"/>
      </w:divBdr>
    </w:div>
    <w:div w:id="517740242">
      <w:bodyDiv w:val="1"/>
      <w:marLeft w:val="0"/>
      <w:marRight w:val="0"/>
      <w:marTop w:val="0"/>
      <w:marBottom w:val="0"/>
      <w:divBdr>
        <w:top w:val="none" w:sz="0" w:space="0" w:color="auto"/>
        <w:left w:val="none" w:sz="0" w:space="0" w:color="auto"/>
        <w:bottom w:val="none" w:sz="0" w:space="0" w:color="auto"/>
        <w:right w:val="none" w:sz="0" w:space="0" w:color="auto"/>
      </w:divBdr>
    </w:div>
    <w:div w:id="578179102">
      <w:bodyDiv w:val="1"/>
      <w:marLeft w:val="0"/>
      <w:marRight w:val="0"/>
      <w:marTop w:val="0"/>
      <w:marBottom w:val="0"/>
      <w:divBdr>
        <w:top w:val="none" w:sz="0" w:space="0" w:color="auto"/>
        <w:left w:val="none" w:sz="0" w:space="0" w:color="auto"/>
        <w:bottom w:val="none" w:sz="0" w:space="0" w:color="auto"/>
        <w:right w:val="none" w:sz="0" w:space="0" w:color="auto"/>
      </w:divBdr>
    </w:div>
    <w:div w:id="674265045">
      <w:bodyDiv w:val="1"/>
      <w:marLeft w:val="0"/>
      <w:marRight w:val="0"/>
      <w:marTop w:val="0"/>
      <w:marBottom w:val="0"/>
      <w:divBdr>
        <w:top w:val="none" w:sz="0" w:space="0" w:color="auto"/>
        <w:left w:val="none" w:sz="0" w:space="0" w:color="auto"/>
        <w:bottom w:val="none" w:sz="0" w:space="0" w:color="auto"/>
        <w:right w:val="none" w:sz="0" w:space="0" w:color="auto"/>
      </w:divBdr>
    </w:div>
    <w:div w:id="786856967">
      <w:bodyDiv w:val="1"/>
      <w:marLeft w:val="0"/>
      <w:marRight w:val="0"/>
      <w:marTop w:val="0"/>
      <w:marBottom w:val="0"/>
      <w:divBdr>
        <w:top w:val="none" w:sz="0" w:space="0" w:color="auto"/>
        <w:left w:val="none" w:sz="0" w:space="0" w:color="auto"/>
        <w:bottom w:val="none" w:sz="0" w:space="0" w:color="auto"/>
        <w:right w:val="none" w:sz="0" w:space="0" w:color="auto"/>
      </w:divBdr>
    </w:div>
    <w:div w:id="811365192">
      <w:bodyDiv w:val="1"/>
      <w:marLeft w:val="0"/>
      <w:marRight w:val="0"/>
      <w:marTop w:val="0"/>
      <w:marBottom w:val="0"/>
      <w:divBdr>
        <w:top w:val="none" w:sz="0" w:space="0" w:color="auto"/>
        <w:left w:val="none" w:sz="0" w:space="0" w:color="auto"/>
        <w:bottom w:val="none" w:sz="0" w:space="0" w:color="auto"/>
        <w:right w:val="none" w:sz="0" w:space="0" w:color="auto"/>
      </w:divBdr>
    </w:div>
    <w:div w:id="828785188">
      <w:bodyDiv w:val="1"/>
      <w:marLeft w:val="0"/>
      <w:marRight w:val="0"/>
      <w:marTop w:val="0"/>
      <w:marBottom w:val="0"/>
      <w:divBdr>
        <w:top w:val="none" w:sz="0" w:space="0" w:color="auto"/>
        <w:left w:val="none" w:sz="0" w:space="0" w:color="auto"/>
        <w:bottom w:val="none" w:sz="0" w:space="0" w:color="auto"/>
        <w:right w:val="none" w:sz="0" w:space="0" w:color="auto"/>
      </w:divBdr>
    </w:div>
    <w:div w:id="1336765500">
      <w:bodyDiv w:val="1"/>
      <w:marLeft w:val="0"/>
      <w:marRight w:val="0"/>
      <w:marTop w:val="0"/>
      <w:marBottom w:val="0"/>
      <w:divBdr>
        <w:top w:val="none" w:sz="0" w:space="0" w:color="auto"/>
        <w:left w:val="none" w:sz="0" w:space="0" w:color="auto"/>
        <w:bottom w:val="none" w:sz="0" w:space="0" w:color="auto"/>
        <w:right w:val="none" w:sz="0" w:space="0" w:color="auto"/>
      </w:divBdr>
    </w:div>
    <w:div w:id="1608195048">
      <w:bodyDiv w:val="1"/>
      <w:marLeft w:val="0"/>
      <w:marRight w:val="0"/>
      <w:marTop w:val="0"/>
      <w:marBottom w:val="0"/>
      <w:divBdr>
        <w:top w:val="none" w:sz="0" w:space="0" w:color="auto"/>
        <w:left w:val="none" w:sz="0" w:space="0" w:color="auto"/>
        <w:bottom w:val="none" w:sz="0" w:space="0" w:color="auto"/>
        <w:right w:val="none" w:sz="0" w:space="0" w:color="auto"/>
      </w:divBdr>
    </w:div>
    <w:div w:id="1645894405">
      <w:bodyDiv w:val="1"/>
      <w:marLeft w:val="0"/>
      <w:marRight w:val="0"/>
      <w:marTop w:val="0"/>
      <w:marBottom w:val="0"/>
      <w:divBdr>
        <w:top w:val="none" w:sz="0" w:space="0" w:color="auto"/>
        <w:left w:val="none" w:sz="0" w:space="0" w:color="auto"/>
        <w:bottom w:val="none" w:sz="0" w:space="0" w:color="auto"/>
        <w:right w:val="none" w:sz="0" w:space="0" w:color="auto"/>
      </w:divBdr>
    </w:div>
    <w:div w:id="1666782725">
      <w:bodyDiv w:val="1"/>
      <w:marLeft w:val="0"/>
      <w:marRight w:val="0"/>
      <w:marTop w:val="0"/>
      <w:marBottom w:val="0"/>
      <w:divBdr>
        <w:top w:val="none" w:sz="0" w:space="0" w:color="auto"/>
        <w:left w:val="none" w:sz="0" w:space="0" w:color="auto"/>
        <w:bottom w:val="none" w:sz="0" w:space="0" w:color="auto"/>
        <w:right w:val="none" w:sz="0" w:space="0" w:color="auto"/>
      </w:divBdr>
    </w:div>
    <w:div w:id="1668316602">
      <w:bodyDiv w:val="1"/>
      <w:marLeft w:val="0"/>
      <w:marRight w:val="0"/>
      <w:marTop w:val="0"/>
      <w:marBottom w:val="0"/>
      <w:divBdr>
        <w:top w:val="none" w:sz="0" w:space="0" w:color="auto"/>
        <w:left w:val="none" w:sz="0" w:space="0" w:color="auto"/>
        <w:bottom w:val="none" w:sz="0" w:space="0" w:color="auto"/>
        <w:right w:val="none" w:sz="0" w:space="0" w:color="auto"/>
      </w:divBdr>
    </w:div>
    <w:div w:id="1700350364">
      <w:bodyDiv w:val="1"/>
      <w:marLeft w:val="0"/>
      <w:marRight w:val="0"/>
      <w:marTop w:val="0"/>
      <w:marBottom w:val="0"/>
      <w:divBdr>
        <w:top w:val="none" w:sz="0" w:space="0" w:color="auto"/>
        <w:left w:val="none" w:sz="0" w:space="0" w:color="auto"/>
        <w:bottom w:val="none" w:sz="0" w:space="0" w:color="auto"/>
        <w:right w:val="none" w:sz="0" w:space="0" w:color="auto"/>
      </w:divBdr>
    </w:div>
    <w:div w:id="1733766823">
      <w:bodyDiv w:val="1"/>
      <w:marLeft w:val="0"/>
      <w:marRight w:val="0"/>
      <w:marTop w:val="0"/>
      <w:marBottom w:val="0"/>
      <w:divBdr>
        <w:top w:val="none" w:sz="0" w:space="0" w:color="auto"/>
        <w:left w:val="none" w:sz="0" w:space="0" w:color="auto"/>
        <w:bottom w:val="none" w:sz="0" w:space="0" w:color="auto"/>
        <w:right w:val="none" w:sz="0" w:space="0" w:color="auto"/>
      </w:divBdr>
    </w:div>
    <w:div w:id="1793476119">
      <w:bodyDiv w:val="1"/>
      <w:marLeft w:val="0"/>
      <w:marRight w:val="0"/>
      <w:marTop w:val="0"/>
      <w:marBottom w:val="0"/>
      <w:divBdr>
        <w:top w:val="none" w:sz="0" w:space="0" w:color="auto"/>
        <w:left w:val="none" w:sz="0" w:space="0" w:color="auto"/>
        <w:bottom w:val="none" w:sz="0" w:space="0" w:color="auto"/>
        <w:right w:val="none" w:sz="0" w:space="0" w:color="auto"/>
      </w:divBdr>
    </w:div>
    <w:div w:id="1984501588">
      <w:bodyDiv w:val="1"/>
      <w:marLeft w:val="0"/>
      <w:marRight w:val="0"/>
      <w:marTop w:val="0"/>
      <w:marBottom w:val="0"/>
      <w:divBdr>
        <w:top w:val="none" w:sz="0" w:space="0" w:color="auto"/>
        <w:left w:val="none" w:sz="0" w:space="0" w:color="auto"/>
        <w:bottom w:val="none" w:sz="0" w:space="0" w:color="auto"/>
        <w:right w:val="none" w:sz="0" w:space="0" w:color="auto"/>
      </w:divBdr>
    </w:div>
    <w:div w:id="2049448127">
      <w:bodyDiv w:val="1"/>
      <w:marLeft w:val="0"/>
      <w:marRight w:val="0"/>
      <w:marTop w:val="0"/>
      <w:marBottom w:val="0"/>
      <w:divBdr>
        <w:top w:val="none" w:sz="0" w:space="0" w:color="auto"/>
        <w:left w:val="none" w:sz="0" w:space="0" w:color="auto"/>
        <w:bottom w:val="none" w:sz="0" w:space="0" w:color="auto"/>
        <w:right w:val="none" w:sz="0" w:space="0" w:color="auto"/>
      </w:divBdr>
    </w:div>
    <w:div w:id="2050640653">
      <w:bodyDiv w:val="1"/>
      <w:marLeft w:val="0"/>
      <w:marRight w:val="0"/>
      <w:marTop w:val="0"/>
      <w:marBottom w:val="0"/>
      <w:divBdr>
        <w:top w:val="none" w:sz="0" w:space="0" w:color="auto"/>
        <w:left w:val="none" w:sz="0" w:space="0" w:color="auto"/>
        <w:bottom w:val="none" w:sz="0" w:space="0" w:color="auto"/>
        <w:right w:val="none" w:sz="0" w:space="0" w:color="auto"/>
      </w:divBdr>
    </w:div>
    <w:div w:id="2105421712">
      <w:bodyDiv w:val="1"/>
      <w:marLeft w:val="0"/>
      <w:marRight w:val="0"/>
      <w:marTop w:val="0"/>
      <w:marBottom w:val="0"/>
      <w:divBdr>
        <w:top w:val="none" w:sz="0" w:space="0" w:color="auto"/>
        <w:left w:val="none" w:sz="0" w:space="0" w:color="auto"/>
        <w:bottom w:val="none" w:sz="0" w:space="0" w:color="auto"/>
        <w:right w:val="none" w:sz="0" w:space="0" w:color="auto"/>
      </w:divBdr>
    </w:div>
    <w:div w:id="2140762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Mississippi State Department of Health</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Schwindaman</dc:creator>
  <cp:lastModifiedBy>Ward, Paige</cp:lastModifiedBy>
  <cp:revision>2</cp:revision>
  <dcterms:created xsi:type="dcterms:W3CDTF">2017-12-05T21:56:00Z</dcterms:created>
  <dcterms:modified xsi:type="dcterms:W3CDTF">2017-12-05T21:56:00Z</dcterms:modified>
</cp:coreProperties>
</file>