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7ED74" w14:textId="77777777" w:rsidR="00F640B1" w:rsidRDefault="00F640B1" w:rsidP="00F640B1">
      <w:pPr>
        <w:pStyle w:val="H2Orange"/>
      </w:pPr>
      <w:r>
        <w:t xml:space="preserve">WORK PLANS </w:t>
      </w:r>
    </w:p>
    <w:p w14:paraId="41DEAEA5" w14:textId="5B4D2A1F" w:rsidR="00F640B1" w:rsidRDefault="00F640B1" w:rsidP="00F640B1">
      <w:pPr>
        <w:pStyle w:val="H3Green"/>
      </w:pPr>
      <w:r>
        <w:t>Appendix L - Increase Educational Attainment</w:t>
      </w:r>
    </w:p>
    <w:p w14:paraId="104624BD" w14:textId="312C5207" w:rsidR="00F640B1" w:rsidRPr="006727B3" w:rsidRDefault="00F640B1" w:rsidP="001414CC">
      <w:pPr>
        <w:spacing w:after="120"/>
        <w:rPr>
          <w:szCs w:val="20"/>
        </w:rPr>
      </w:pPr>
      <w:r w:rsidRPr="006727B3">
        <w:rPr>
          <w:szCs w:val="20"/>
        </w:rPr>
        <w:t>The U.S. Census Bureau collects educational attainment information annually through the Americ</w:t>
      </w:r>
      <w:r w:rsidR="00634874">
        <w:rPr>
          <w:szCs w:val="20"/>
        </w:rPr>
        <w:t xml:space="preserve">an Community Survey and Current </w:t>
      </w:r>
      <w:r w:rsidRPr="006727B3">
        <w:rPr>
          <w:szCs w:val="20"/>
        </w:rPr>
        <w:t>Population Survey. Educational attainment is defined as the highest level of formal education completed (i.e., high school diploma</w:t>
      </w:r>
      <w:r w:rsidR="00634874">
        <w:rPr>
          <w:szCs w:val="20"/>
        </w:rPr>
        <w:t xml:space="preserve"> or </w:t>
      </w:r>
      <w:r w:rsidRPr="006727B3">
        <w:rPr>
          <w:szCs w:val="20"/>
        </w:rPr>
        <w:t xml:space="preserve">equivalent, bachelor's degree, graduate/professional degree). An educated workforce is an important factor for economic development. Completion of formal education is associated with higher paying jobs and access to resources that impact health such as: food, housing, transportation, health insurance, recreation, and other basic necessities for physical and mental wellbeing. In Mississippi, 81.5% of adults </w:t>
      </w:r>
      <w:r w:rsidR="00634874">
        <w:rPr>
          <w:szCs w:val="20"/>
        </w:rPr>
        <w:br/>
      </w:r>
      <w:r w:rsidRPr="006727B3">
        <w:rPr>
          <w:szCs w:val="20"/>
        </w:rPr>
        <w:t xml:space="preserve">age 25 and older have at least a high school diploma, this is lower than the national average (86.0%). </w:t>
      </w:r>
    </w:p>
    <w:p w14:paraId="5D1E55C3" w14:textId="6C306121" w:rsidR="00D60B29" w:rsidRDefault="00F640B1" w:rsidP="00A35886">
      <w:pPr>
        <w:pStyle w:val="BodySource"/>
      </w:pPr>
      <w:r>
        <w:t>Source: US Census Bureau American Community Survey, Rev May 28, 2015.</w:t>
      </w:r>
    </w:p>
    <w:p w14:paraId="6FCD1266" w14:textId="551D0351" w:rsidR="00D60B29" w:rsidRDefault="005D785C" w:rsidP="00D60B29">
      <w:pPr>
        <w:pStyle w:val="H3Green"/>
      </w:pPr>
      <w:r>
        <w:t xml:space="preserve">APPENDIX L: </w:t>
      </w:r>
      <w:r w:rsidR="00D60B29" w:rsidRPr="00D60B29">
        <w:t>Mississippi State Community Scorecard – 2016</w:t>
      </w:r>
      <w:r w:rsidR="00D60B29">
        <w:br/>
      </w:r>
      <w:r>
        <w:t xml:space="preserve">PRIORITY AREA #1: </w:t>
      </w:r>
      <w:r w:rsidR="00D60B29" w:rsidRPr="00D60B29">
        <w:t>Increase Educational Attainment</w:t>
      </w:r>
    </w:p>
    <w:p w14:paraId="31CDC1C3" w14:textId="79CA519E" w:rsidR="008A155C" w:rsidRDefault="001414CC" w:rsidP="008A155C">
      <w:pPr>
        <w:pStyle w:val="H3Blue"/>
      </w:pPr>
      <w:r>
        <w:t xml:space="preserve">Goal 1.0 </w:t>
      </w:r>
      <w:r w:rsidR="008A155C" w:rsidRPr="008A155C">
        <w:t>Increase high school graduation rates</w:t>
      </w:r>
    </w:p>
    <w:p w14:paraId="7A925BA3" w14:textId="7A923BB2" w:rsidR="008A155C" w:rsidRDefault="008A155C" w:rsidP="008A155C">
      <w:r w:rsidRPr="008A155C">
        <w:rPr>
          <w:b/>
        </w:rPr>
        <w:t>Strategic Objective</w:t>
      </w:r>
      <w:r w:rsidR="00440CD3">
        <w:rPr>
          <w:b/>
        </w:rPr>
        <w:t xml:space="preserve"> 1.0 </w:t>
      </w:r>
      <w:r w:rsidRPr="008A155C">
        <w:t>Decreas</w:t>
      </w:r>
      <w:r>
        <w:t xml:space="preserve">e </w:t>
      </w:r>
      <w:r w:rsidR="00121EB2">
        <w:t>birth</w:t>
      </w:r>
      <w:r>
        <w:t xml:space="preserve"> rate in women aged </w:t>
      </w:r>
      <w:r w:rsidRPr="008A155C">
        <w:t>15-19</w:t>
      </w:r>
    </w:p>
    <w:tbl>
      <w:tblPr>
        <w:tblStyle w:val="TableGrid"/>
        <w:tblW w:w="5100"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ook w:val="04A0" w:firstRow="1" w:lastRow="0" w:firstColumn="1" w:lastColumn="0" w:noHBand="0" w:noVBand="1"/>
      </w:tblPr>
      <w:tblGrid>
        <w:gridCol w:w="2988"/>
        <w:gridCol w:w="1467"/>
        <w:gridCol w:w="1228"/>
        <w:gridCol w:w="1237"/>
        <w:gridCol w:w="6715"/>
        <w:gridCol w:w="820"/>
        <w:gridCol w:w="453"/>
      </w:tblGrid>
      <w:tr w:rsidR="00DC2C5D" w14:paraId="08E47350" w14:textId="255D1C19" w:rsidTr="00DC2C5D">
        <w:trPr>
          <w:trHeight w:val="771"/>
        </w:trPr>
        <w:tc>
          <w:tcPr>
            <w:tcW w:w="1002" w:type="pct"/>
            <w:tcBorders>
              <w:right w:val="single" w:sz="12" w:space="0" w:color="FFFFFF" w:themeColor="background1"/>
            </w:tcBorders>
            <w:shd w:val="clear" w:color="auto" w:fill="F3F5E2"/>
            <w:vAlign w:val="center"/>
          </w:tcPr>
          <w:p w14:paraId="555AA8B4" w14:textId="3233F5E6" w:rsidR="008C3C4D" w:rsidRPr="00042B28" w:rsidRDefault="008C3C4D" w:rsidP="0011592D">
            <w:pPr>
              <w:rPr>
                <w:b/>
                <w:color w:val="F57757"/>
                <w:szCs w:val="20"/>
              </w:rPr>
            </w:pPr>
            <w:r w:rsidRPr="00042B28">
              <w:rPr>
                <w:b/>
                <w:color w:val="F57757"/>
                <w:szCs w:val="20"/>
              </w:rPr>
              <w:t>Measure</w:t>
            </w:r>
          </w:p>
        </w:tc>
        <w:tc>
          <w:tcPr>
            <w:tcW w:w="492" w:type="pct"/>
            <w:tcBorders>
              <w:left w:val="single" w:sz="12" w:space="0" w:color="FFFFFF" w:themeColor="background1"/>
              <w:right w:val="single" w:sz="12" w:space="0" w:color="FFFFFF" w:themeColor="background1"/>
            </w:tcBorders>
            <w:shd w:val="clear" w:color="auto" w:fill="F3F5E2"/>
            <w:vAlign w:val="center"/>
          </w:tcPr>
          <w:p w14:paraId="1206EFC3" w14:textId="6891FED6" w:rsidR="008C3C4D" w:rsidRPr="008C3C4D" w:rsidRDefault="008C3C4D" w:rsidP="0011592D">
            <w:pPr>
              <w:ind w:left="-280" w:firstLine="270"/>
              <w:rPr>
                <w:b/>
                <w:color w:val="F57757"/>
                <w:szCs w:val="20"/>
              </w:rPr>
            </w:pPr>
            <w:r w:rsidRPr="008C3C4D">
              <w:rPr>
                <w:b/>
                <w:color w:val="F57757"/>
                <w:szCs w:val="20"/>
              </w:rPr>
              <w:t>Baseline</w:t>
            </w:r>
          </w:p>
        </w:tc>
        <w:tc>
          <w:tcPr>
            <w:tcW w:w="412" w:type="pct"/>
            <w:tcBorders>
              <w:left w:val="single" w:sz="12" w:space="0" w:color="FFFFFF" w:themeColor="background1"/>
              <w:right w:val="single" w:sz="12" w:space="0" w:color="FFFFFF" w:themeColor="background1"/>
            </w:tcBorders>
            <w:shd w:val="clear" w:color="auto" w:fill="F3F5E2"/>
            <w:vAlign w:val="bottom"/>
          </w:tcPr>
          <w:p w14:paraId="37A818F6" w14:textId="3349790D" w:rsidR="008C3C4D" w:rsidRPr="008C3C4D" w:rsidRDefault="008C3C4D" w:rsidP="003E23FD">
            <w:pPr>
              <w:spacing w:line="240" w:lineRule="auto"/>
              <w:rPr>
                <w:b/>
                <w:color w:val="F57757"/>
                <w:szCs w:val="20"/>
              </w:rPr>
            </w:pPr>
            <w:r>
              <w:rPr>
                <w:b/>
                <w:color w:val="F57757"/>
                <w:szCs w:val="20"/>
              </w:rPr>
              <w:t>Current/</w:t>
            </w:r>
            <w:r w:rsidR="003E23FD">
              <w:rPr>
                <w:b/>
                <w:color w:val="F57757"/>
                <w:szCs w:val="20"/>
              </w:rPr>
              <w:br/>
            </w:r>
            <w:r>
              <w:rPr>
                <w:b/>
                <w:color w:val="F57757"/>
                <w:szCs w:val="20"/>
              </w:rPr>
              <w:t>Date</w:t>
            </w:r>
          </w:p>
        </w:tc>
        <w:tc>
          <w:tcPr>
            <w:tcW w:w="415" w:type="pct"/>
            <w:tcBorders>
              <w:left w:val="single" w:sz="12" w:space="0" w:color="FFFFFF" w:themeColor="background1"/>
              <w:right w:val="single" w:sz="12" w:space="0" w:color="FFFFFF" w:themeColor="background1"/>
            </w:tcBorders>
            <w:shd w:val="clear" w:color="auto" w:fill="F3F5E2"/>
            <w:vAlign w:val="center"/>
          </w:tcPr>
          <w:p w14:paraId="2F28D4AC" w14:textId="7CADEE9E" w:rsidR="008C3C4D" w:rsidRPr="008C3C4D" w:rsidRDefault="008C3C4D" w:rsidP="0011592D">
            <w:pPr>
              <w:rPr>
                <w:b/>
                <w:color w:val="F57757"/>
                <w:szCs w:val="20"/>
              </w:rPr>
            </w:pPr>
            <w:r w:rsidRPr="008C3C4D">
              <w:rPr>
                <w:b/>
                <w:color w:val="F57757"/>
                <w:szCs w:val="20"/>
              </w:rPr>
              <w:t>Target</w:t>
            </w:r>
          </w:p>
        </w:tc>
        <w:tc>
          <w:tcPr>
            <w:tcW w:w="2252" w:type="pct"/>
            <w:tcBorders>
              <w:left w:val="single" w:sz="12" w:space="0" w:color="FFFFFF" w:themeColor="background1"/>
              <w:right w:val="single" w:sz="12" w:space="0" w:color="FFFFFF"/>
            </w:tcBorders>
            <w:shd w:val="clear" w:color="auto" w:fill="F3F5E2"/>
            <w:vAlign w:val="center"/>
          </w:tcPr>
          <w:p w14:paraId="4C73933D" w14:textId="7C0BEDAC" w:rsidR="008C3C4D" w:rsidRPr="00042B28" w:rsidRDefault="008C3C4D" w:rsidP="0011592D">
            <w:pPr>
              <w:rPr>
                <w:b/>
                <w:color w:val="F57757"/>
                <w:szCs w:val="20"/>
              </w:rPr>
            </w:pPr>
            <w:r w:rsidRPr="00042B28">
              <w:rPr>
                <w:b/>
                <w:color w:val="F57757"/>
                <w:szCs w:val="20"/>
              </w:rPr>
              <w:t>Critical Actions/Intervention Strategies</w:t>
            </w:r>
          </w:p>
        </w:tc>
        <w:tc>
          <w:tcPr>
            <w:tcW w:w="427" w:type="pct"/>
            <w:gridSpan w:val="2"/>
            <w:tcBorders>
              <w:left w:val="single" w:sz="12" w:space="0" w:color="FFFFFF"/>
            </w:tcBorders>
            <w:shd w:val="clear" w:color="auto" w:fill="F3F5E2"/>
            <w:vAlign w:val="center"/>
          </w:tcPr>
          <w:p w14:paraId="000BB02C" w14:textId="7E52AC84" w:rsidR="008C3C4D" w:rsidRPr="00042B28" w:rsidRDefault="008C3C4D" w:rsidP="003E23FD">
            <w:pPr>
              <w:spacing w:after="0" w:line="240" w:lineRule="auto"/>
              <w:rPr>
                <w:b/>
                <w:color w:val="F57757"/>
                <w:szCs w:val="20"/>
              </w:rPr>
            </w:pPr>
            <w:r w:rsidRPr="00042B28">
              <w:rPr>
                <w:b/>
                <w:color w:val="F57757"/>
                <w:szCs w:val="20"/>
              </w:rPr>
              <w:t>Status</w:t>
            </w:r>
            <w:r w:rsidRPr="00042B28">
              <w:rPr>
                <w:b/>
                <w:color w:val="F57757"/>
                <w:szCs w:val="20"/>
              </w:rPr>
              <w:br/>
              <w:t>R/Y/G</w:t>
            </w:r>
          </w:p>
        </w:tc>
      </w:tr>
      <w:tr w:rsidR="00DC2C5D" w14:paraId="7D456122" w14:textId="5B72273A" w:rsidTr="00DC2C5D">
        <w:trPr>
          <w:trHeight w:val="2976"/>
        </w:trPr>
        <w:tc>
          <w:tcPr>
            <w:tcW w:w="1002" w:type="pct"/>
          </w:tcPr>
          <w:p w14:paraId="41C679EE" w14:textId="6D735ED0" w:rsidR="008C3C4D" w:rsidRPr="003E23FD" w:rsidRDefault="008C3C4D" w:rsidP="003E23FD">
            <w:pPr>
              <w:spacing w:line="260" w:lineRule="exact"/>
              <w:rPr>
                <w:rFonts w:ascii="Macho" w:hAnsi="Macho"/>
                <w:sz w:val="19"/>
                <w:szCs w:val="19"/>
              </w:rPr>
            </w:pPr>
            <w:r w:rsidRPr="003E23FD">
              <w:rPr>
                <w:sz w:val="19"/>
                <w:szCs w:val="19"/>
              </w:rPr>
              <w:t xml:space="preserve">Rate of teen </w:t>
            </w:r>
            <w:r w:rsidR="003C4C77">
              <w:rPr>
                <w:sz w:val="19"/>
                <w:szCs w:val="19"/>
              </w:rPr>
              <w:t>pregnancy</w:t>
            </w:r>
            <w:r w:rsidRPr="003E23FD">
              <w:rPr>
                <w:sz w:val="19"/>
                <w:szCs w:val="19"/>
              </w:rPr>
              <w:t xml:space="preserve"> among women aged 15-19 </w:t>
            </w:r>
          </w:p>
          <w:p w14:paraId="3F2889F9" w14:textId="22DEEC1F" w:rsidR="008C3C4D" w:rsidRPr="003E23FD" w:rsidRDefault="008C3C4D" w:rsidP="003E23FD">
            <w:pPr>
              <w:pStyle w:val="BodySource"/>
              <w:spacing w:line="260" w:lineRule="exact"/>
              <w:rPr>
                <w:szCs w:val="19"/>
              </w:rPr>
            </w:pPr>
            <w:r w:rsidRPr="003E23FD">
              <w:rPr>
                <w:szCs w:val="19"/>
              </w:rPr>
              <w:t>Data Source: MSDH Office of Public Health Statistics</w:t>
            </w:r>
          </w:p>
        </w:tc>
        <w:tc>
          <w:tcPr>
            <w:tcW w:w="492" w:type="pct"/>
          </w:tcPr>
          <w:p w14:paraId="5E0A04B5" w14:textId="0CFB1618" w:rsidR="008C3C4D" w:rsidRPr="003E23FD" w:rsidRDefault="008C3C4D" w:rsidP="003E23FD">
            <w:pPr>
              <w:spacing w:line="260" w:lineRule="exact"/>
              <w:rPr>
                <w:rFonts w:ascii="Macho" w:hAnsi="Macho"/>
                <w:sz w:val="19"/>
                <w:szCs w:val="19"/>
              </w:rPr>
            </w:pPr>
            <w:r w:rsidRPr="003E23FD">
              <w:rPr>
                <w:sz w:val="19"/>
                <w:szCs w:val="19"/>
              </w:rPr>
              <w:t>2013:</w:t>
            </w:r>
          </w:p>
          <w:p w14:paraId="1141DAFE" w14:textId="2C76CE0C" w:rsidR="008C3C4D" w:rsidRPr="003E23FD" w:rsidRDefault="008C3C4D" w:rsidP="003E23FD">
            <w:pPr>
              <w:spacing w:line="260" w:lineRule="exact"/>
              <w:rPr>
                <w:sz w:val="19"/>
                <w:szCs w:val="19"/>
              </w:rPr>
            </w:pPr>
            <w:r w:rsidRPr="003E23FD">
              <w:rPr>
                <w:sz w:val="19"/>
                <w:szCs w:val="19"/>
              </w:rPr>
              <w:t>49.1/1000</w:t>
            </w:r>
          </w:p>
        </w:tc>
        <w:tc>
          <w:tcPr>
            <w:tcW w:w="412" w:type="pct"/>
          </w:tcPr>
          <w:p w14:paraId="01E2C7BA" w14:textId="77777777" w:rsidR="008C3C4D" w:rsidRDefault="00DE6A10" w:rsidP="003E23FD">
            <w:pPr>
              <w:spacing w:line="260" w:lineRule="exact"/>
              <w:rPr>
                <w:sz w:val="19"/>
                <w:szCs w:val="19"/>
              </w:rPr>
            </w:pPr>
            <w:r>
              <w:rPr>
                <w:sz w:val="19"/>
                <w:szCs w:val="19"/>
              </w:rPr>
              <w:t>2015:</w:t>
            </w:r>
          </w:p>
          <w:p w14:paraId="11FB5630" w14:textId="448AE655" w:rsidR="00DE6A10" w:rsidRPr="003E23FD" w:rsidRDefault="00A56A85" w:rsidP="003E23FD">
            <w:pPr>
              <w:spacing w:line="260" w:lineRule="exact"/>
              <w:rPr>
                <w:sz w:val="19"/>
                <w:szCs w:val="19"/>
              </w:rPr>
            </w:pPr>
            <w:r>
              <w:rPr>
                <w:sz w:val="19"/>
                <w:szCs w:val="19"/>
              </w:rPr>
              <w:t>39.2/1000</w:t>
            </w:r>
          </w:p>
        </w:tc>
        <w:tc>
          <w:tcPr>
            <w:tcW w:w="415" w:type="pct"/>
          </w:tcPr>
          <w:p w14:paraId="0A0478B9" w14:textId="46D26F0E" w:rsidR="008C3C4D" w:rsidRPr="003E23FD" w:rsidRDefault="008C3C4D" w:rsidP="003E23FD">
            <w:pPr>
              <w:spacing w:line="260" w:lineRule="exact"/>
              <w:rPr>
                <w:rFonts w:ascii="Macho" w:hAnsi="Macho"/>
                <w:sz w:val="19"/>
                <w:szCs w:val="19"/>
              </w:rPr>
            </w:pPr>
            <w:r w:rsidRPr="003E23FD">
              <w:rPr>
                <w:sz w:val="19"/>
                <w:szCs w:val="19"/>
              </w:rPr>
              <w:t>December 31, 2020:</w:t>
            </w:r>
          </w:p>
          <w:p w14:paraId="267B0B55" w14:textId="64CB70BC" w:rsidR="008C3C4D" w:rsidRPr="003E23FD" w:rsidRDefault="008C3C4D" w:rsidP="003E23FD">
            <w:pPr>
              <w:spacing w:line="260" w:lineRule="exact"/>
              <w:rPr>
                <w:sz w:val="19"/>
                <w:szCs w:val="19"/>
              </w:rPr>
            </w:pPr>
            <w:r w:rsidRPr="003E23FD">
              <w:rPr>
                <w:sz w:val="19"/>
                <w:szCs w:val="19"/>
              </w:rPr>
              <w:t>44.2/1000</w:t>
            </w:r>
          </w:p>
        </w:tc>
        <w:tc>
          <w:tcPr>
            <w:tcW w:w="2252" w:type="pct"/>
          </w:tcPr>
          <w:p w14:paraId="0383E0F2" w14:textId="77777777" w:rsidR="008754E4" w:rsidRPr="003E23FD" w:rsidRDefault="008754E4" w:rsidP="002E55BD">
            <w:pPr>
              <w:pStyle w:val="Style1"/>
              <w:numPr>
                <w:ilvl w:val="0"/>
                <w:numId w:val="0"/>
              </w:numPr>
              <w:spacing w:after="120" w:line="260" w:lineRule="exact"/>
              <w:rPr>
                <w:sz w:val="19"/>
                <w:szCs w:val="19"/>
              </w:rPr>
            </w:pPr>
            <w:r w:rsidRPr="003E23FD">
              <w:rPr>
                <w:sz w:val="19"/>
                <w:szCs w:val="19"/>
              </w:rPr>
              <w:t xml:space="preserve">a. </w:t>
            </w:r>
            <w:r w:rsidR="008C3C4D" w:rsidRPr="003E23FD">
              <w:rPr>
                <w:sz w:val="19"/>
                <w:szCs w:val="19"/>
              </w:rPr>
              <w:t xml:space="preserve">Develop health education campaign (PSA's, social media, etc.) on contraceptive availability and usage </w:t>
            </w:r>
          </w:p>
          <w:p w14:paraId="0E2216E4" w14:textId="77777777" w:rsidR="008754E4" w:rsidRPr="003E23FD" w:rsidRDefault="008754E4" w:rsidP="002E55BD">
            <w:pPr>
              <w:pStyle w:val="Style1"/>
              <w:numPr>
                <w:ilvl w:val="0"/>
                <w:numId w:val="0"/>
              </w:numPr>
              <w:spacing w:after="120" w:line="260" w:lineRule="exact"/>
              <w:rPr>
                <w:sz w:val="19"/>
                <w:szCs w:val="19"/>
              </w:rPr>
            </w:pPr>
            <w:r w:rsidRPr="003E23FD">
              <w:rPr>
                <w:sz w:val="19"/>
                <w:szCs w:val="19"/>
              </w:rPr>
              <w:t xml:space="preserve">b. </w:t>
            </w:r>
            <w:r w:rsidR="008C3C4D" w:rsidRPr="003E23FD">
              <w:rPr>
                <w:sz w:val="19"/>
                <w:szCs w:val="19"/>
              </w:rPr>
              <w:t xml:space="preserve">Provide evidence-based skills training on LARC insertions </w:t>
            </w:r>
            <w:r w:rsidR="006727B3" w:rsidRPr="003E23FD">
              <w:rPr>
                <w:sz w:val="19"/>
                <w:szCs w:val="19"/>
              </w:rPr>
              <w:br/>
            </w:r>
            <w:r w:rsidR="008C3C4D" w:rsidRPr="003E23FD">
              <w:rPr>
                <w:sz w:val="19"/>
                <w:szCs w:val="19"/>
              </w:rPr>
              <w:t xml:space="preserve">and evidence-based skills training on contraceptive option counseling to providers. </w:t>
            </w:r>
          </w:p>
          <w:p w14:paraId="0FEBB588" w14:textId="77777777" w:rsidR="008754E4" w:rsidRPr="003E23FD" w:rsidRDefault="008754E4" w:rsidP="002E55BD">
            <w:pPr>
              <w:pStyle w:val="Style1"/>
              <w:numPr>
                <w:ilvl w:val="0"/>
                <w:numId w:val="0"/>
              </w:numPr>
              <w:spacing w:after="120" w:line="260" w:lineRule="exact"/>
              <w:rPr>
                <w:sz w:val="19"/>
                <w:szCs w:val="19"/>
              </w:rPr>
            </w:pPr>
            <w:r w:rsidRPr="003E23FD">
              <w:rPr>
                <w:sz w:val="19"/>
                <w:szCs w:val="19"/>
              </w:rPr>
              <w:t xml:space="preserve">c. </w:t>
            </w:r>
            <w:r w:rsidR="008C3C4D" w:rsidRPr="003E23FD">
              <w:rPr>
                <w:sz w:val="19"/>
                <w:szCs w:val="19"/>
              </w:rPr>
              <w:t>Support implementation of high quality sexuality education curricula in middle and high schoo</w:t>
            </w:r>
            <w:r w:rsidRPr="003E23FD">
              <w:rPr>
                <w:sz w:val="19"/>
                <w:szCs w:val="19"/>
              </w:rPr>
              <w:t>ls in accordance with state law</w:t>
            </w:r>
          </w:p>
          <w:p w14:paraId="73AF569C" w14:textId="477FE11B" w:rsidR="008C3C4D" w:rsidRPr="003E23FD" w:rsidRDefault="008754E4" w:rsidP="002E55BD">
            <w:pPr>
              <w:pStyle w:val="Style1"/>
              <w:numPr>
                <w:ilvl w:val="0"/>
                <w:numId w:val="0"/>
              </w:numPr>
              <w:spacing w:after="120" w:line="260" w:lineRule="exact"/>
              <w:rPr>
                <w:sz w:val="19"/>
                <w:szCs w:val="19"/>
              </w:rPr>
            </w:pPr>
            <w:r w:rsidRPr="003E23FD">
              <w:rPr>
                <w:sz w:val="19"/>
                <w:szCs w:val="19"/>
              </w:rPr>
              <w:t xml:space="preserve">d. </w:t>
            </w:r>
            <w:r w:rsidR="008C3C4D" w:rsidRPr="003E23FD">
              <w:rPr>
                <w:sz w:val="19"/>
                <w:szCs w:val="19"/>
              </w:rPr>
              <w:t xml:space="preserve">Support sexuality education teacher trainings and </w:t>
            </w:r>
            <w:r w:rsidR="006727B3" w:rsidRPr="003E23FD">
              <w:rPr>
                <w:sz w:val="19"/>
                <w:szCs w:val="19"/>
              </w:rPr>
              <w:br/>
            </w:r>
            <w:r w:rsidR="008C3C4D" w:rsidRPr="003E23FD">
              <w:rPr>
                <w:sz w:val="19"/>
                <w:szCs w:val="19"/>
              </w:rPr>
              <w:t>professional development</w:t>
            </w:r>
          </w:p>
        </w:tc>
        <w:tc>
          <w:tcPr>
            <w:tcW w:w="427" w:type="pct"/>
            <w:gridSpan w:val="2"/>
          </w:tcPr>
          <w:p w14:paraId="4557D275" w14:textId="2CFB3A3F" w:rsidR="008C3C4D" w:rsidRDefault="009E6392" w:rsidP="003E23FD">
            <w:pPr>
              <w:spacing w:line="260" w:lineRule="exact"/>
            </w:pPr>
            <w:r>
              <w:t>G</w:t>
            </w:r>
          </w:p>
        </w:tc>
      </w:tr>
      <w:tr w:rsidR="003E23FD" w14:paraId="057F2003" w14:textId="5531B9AE" w:rsidTr="00667622">
        <w:trPr>
          <w:gridAfter w:val="1"/>
          <w:wAfter w:w="152" w:type="pct"/>
          <w:trHeight w:val="276"/>
        </w:trPr>
        <w:tc>
          <w:tcPr>
            <w:tcW w:w="4848" w:type="pct"/>
            <w:gridSpan w:val="6"/>
            <w:vAlign w:val="center"/>
          </w:tcPr>
          <w:p w14:paraId="6FAD269E" w14:textId="7414DA26" w:rsidR="0011592D" w:rsidRPr="008754E4" w:rsidRDefault="0011592D" w:rsidP="00D353C0">
            <w:pPr>
              <w:pStyle w:val="GoalLeads"/>
            </w:pPr>
            <w:r w:rsidRPr="0011592D">
              <w:t xml:space="preserve">Organization/ Lead Person: Mary Reed and Danielle Lampton, Comprehensive Reproductive Health and Adolescent Health Program, MSDH; </w:t>
            </w:r>
            <w:r w:rsidR="00D353C0">
              <w:br/>
            </w:r>
            <w:r w:rsidRPr="0011592D">
              <w:t>Kenyatta Parker, PREP, MSDH</w:t>
            </w:r>
          </w:p>
        </w:tc>
      </w:tr>
    </w:tbl>
    <w:p w14:paraId="0FC0A9DD" w14:textId="77777777" w:rsidR="001414CC" w:rsidRDefault="001414CC" w:rsidP="008D5C30">
      <w:pPr>
        <w:pStyle w:val="H3Green"/>
      </w:pPr>
    </w:p>
    <w:p w14:paraId="47A5DADA" w14:textId="14FD1F4D" w:rsidR="008D5C30" w:rsidRDefault="005D785C" w:rsidP="008D5C30">
      <w:pPr>
        <w:pStyle w:val="H3Green"/>
      </w:pPr>
      <w:r>
        <w:lastRenderedPageBreak/>
        <w:t>APPENDIX L</w:t>
      </w:r>
      <w:r w:rsidR="008D5C30" w:rsidRPr="00D60B29">
        <w:t>:</w:t>
      </w:r>
      <w:r>
        <w:t xml:space="preserve"> </w:t>
      </w:r>
      <w:r w:rsidR="008D5C30" w:rsidRPr="00D60B29">
        <w:t>Mississippi State Community Scorecard – 2016</w:t>
      </w:r>
      <w:r w:rsidR="008D5C30">
        <w:br/>
      </w:r>
      <w:r>
        <w:t xml:space="preserve">PRIORITY AREA #1: </w:t>
      </w:r>
      <w:r w:rsidR="008D5C30" w:rsidRPr="00D60B29">
        <w:t>Increase Educational Attainment</w:t>
      </w:r>
    </w:p>
    <w:p w14:paraId="40C9B264" w14:textId="5D0397AE" w:rsidR="008D5C30" w:rsidRDefault="008D5C30" w:rsidP="008D5C30">
      <w:pPr>
        <w:pStyle w:val="H3Blue"/>
      </w:pPr>
      <w:r w:rsidRPr="008A155C">
        <w:t>G</w:t>
      </w:r>
      <w:r w:rsidR="00F8330D">
        <w:t xml:space="preserve">oal 1.0 </w:t>
      </w:r>
      <w:r w:rsidRPr="008A155C">
        <w:t>Increase high school graduation rates</w:t>
      </w:r>
    </w:p>
    <w:p w14:paraId="14CD6DF6" w14:textId="42EDD630" w:rsidR="008D5C30" w:rsidRDefault="008D5C30" w:rsidP="008D5C30">
      <w:r w:rsidRPr="008A155C">
        <w:rPr>
          <w:b/>
        </w:rPr>
        <w:t>Strategic Objective</w:t>
      </w:r>
      <w:r w:rsidR="00440CD3">
        <w:rPr>
          <w:b/>
        </w:rPr>
        <w:t xml:space="preserve"> 1.0 </w:t>
      </w:r>
      <w:r w:rsidRPr="008A155C">
        <w:t>Decreas</w:t>
      </w:r>
      <w:r>
        <w:t xml:space="preserve">e </w:t>
      </w:r>
      <w:r w:rsidR="003272AA">
        <w:t>birth</w:t>
      </w:r>
      <w:r>
        <w:t xml:space="preserve"> rate in women aged </w:t>
      </w:r>
      <w:r w:rsidRPr="008A155C">
        <w:t>15-19</w:t>
      </w:r>
    </w:p>
    <w:tbl>
      <w:tblPr>
        <w:tblStyle w:val="TableGrid"/>
        <w:tblW w:w="5107"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ook w:val="04A0" w:firstRow="1" w:lastRow="0" w:firstColumn="1" w:lastColumn="0" w:noHBand="0" w:noVBand="1"/>
      </w:tblPr>
      <w:tblGrid>
        <w:gridCol w:w="2986"/>
        <w:gridCol w:w="1448"/>
        <w:gridCol w:w="1227"/>
        <w:gridCol w:w="1242"/>
        <w:gridCol w:w="6763"/>
        <w:gridCol w:w="1263"/>
      </w:tblGrid>
      <w:tr w:rsidR="00DC2C5D" w14:paraId="31F7D19F" w14:textId="77777777" w:rsidTr="00DC2C5D">
        <w:trPr>
          <w:trHeight w:val="618"/>
        </w:trPr>
        <w:tc>
          <w:tcPr>
            <w:tcW w:w="1000" w:type="pct"/>
            <w:tcBorders>
              <w:right w:val="single" w:sz="12" w:space="0" w:color="FFFFFF" w:themeColor="background1"/>
            </w:tcBorders>
            <w:shd w:val="clear" w:color="auto" w:fill="F3F5E2"/>
            <w:vAlign w:val="center"/>
          </w:tcPr>
          <w:p w14:paraId="280042B9" w14:textId="77777777" w:rsidR="008D5C30" w:rsidRPr="00042B28" w:rsidRDefault="008D5C30" w:rsidP="00CB36FE">
            <w:pPr>
              <w:rPr>
                <w:b/>
                <w:color w:val="F57757"/>
                <w:szCs w:val="20"/>
              </w:rPr>
            </w:pPr>
            <w:r w:rsidRPr="00042B28">
              <w:rPr>
                <w:b/>
                <w:color w:val="F57757"/>
                <w:szCs w:val="20"/>
              </w:rPr>
              <w:t>Measure</w:t>
            </w:r>
          </w:p>
        </w:tc>
        <w:tc>
          <w:tcPr>
            <w:tcW w:w="485" w:type="pct"/>
            <w:tcBorders>
              <w:left w:val="single" w:sz="12" w:space="0" w:color="FFFFFF" w:themeColor="background1"/>
              <w:right w:val="single" w:sz="12" w:space="0" w:color="FFFFFF" w:themeColor="background1"/>
            </w:tcBorders>
            <w:shd w:val="clear" w:color="auto" w:fill="F3F5E2"/>
            <w:vAlign w:val="center"/>
          </w:tcPr>
          <w:p w14:paraId="2D0C6A35" w14:textId="77777777" w:rsidR="008D5C30" w:rsidRPr="008C3C4D" w:rsidRDefault="008D5C30" w:rsidP="00CB36FE">
            <w:pPr>
              <w:ind w:left="-280" w:firstLine="270"/>
              <w:rPr>
                <w:b/>
                <w:color w:val="F57757"/>
                <w:szCs w:val="20"/>
              </w:rPr>
            </w:pPr>
            <w:r w:rsidRPr="008C3C4D">
              <w:rPr>
                <w:b/>
                <w:color w:val="F57757"/>
                <w:szCs w:val="20"/>
              </w:rPr>
              <w:t>Baseline</w:t>
            </w:r>
          </w:p>
        </w:tc>
        <w:tc>
          <w:tcPr>
            <w:tcW w:w="411" w:type="pct"/>
            <w:tcBorders>
              <w:left w:val="single" w:sz="12" w:space="0" w:color="FFFFFF" w:themeColor="background1"/>
              <w:right w:val="single" w:sz="12" w:space="0" w:color="FFFFFF" w:themeColor="background1"/>
            </w:tcBorders>
            <w:shd w:val="clear" w:color="auto" w:fill="F3F5E2"/>
            <w:vAlign w:val="center"/>
          </w:tcPr>
          <w:p w14:paraId="5053332B" w14:textId="1C29FE76" w:rsidR="008D5C30" w:rsidRPr="008C3C4D" w:rsidRDefault="003E23FD" w:rsidP="003E23FD">
            <w:pPr>
              <w:spacing w:after="0" w:line="240" w:lineRule="auto"/>
              <w:rPr>
                <w:b/>
                <w:color w:val="F57757"/>
                <w:szCs w:val="20"/>
              </w:rPr>
            </w:pPr>
            <w:r>
              <w:rPr>
                <w:b/>
                <w:color w:val="F57757"/>
                <w:szCs w:val="20"/>
              </w:rPr>
              <w:t>Current/</w:t>
            </w:r>
            <w:r>
              <w:rPr>
                <w:b/>
                <w:color w:val="F57757"/>
                <w:szCs w:val="20"/>
              </w:rPr>
              <w:br/>
              <w:t>Date</w:t>
            </w:r>
          </w:p>
        </w:tc>
        <w:tc>
          <w:tcPr>
            <w:tcW w:w="416" w:type="pct"/>
            <w:tcBorders>
              <w:left w:val="single" w:sz="12" w:space="0" w:color="FFFFFF" w:themeColor="background1"/>
              <w:right w:val="single" w:sz="12" w:space="0" w:color="FFFFFF" w:themeColor="background1"/>
            </w:tcBorders>
            <w:shd w:val="clear" w:color="auto" w:fill="F3F5E2"/>
            <w:vAlign w:val="center"/>
          </w:tcPr>
          <w:p w14:paraId="22DED024" w14:textId="77777777" w:rsidR="008D5C30" w:rsidRPr="008C3C4D" w:rsidRDefault="008D5C30" w:rsidP="00CB36FE">
            <w:pPr>
              <w:rPr>
                <w:b/>
                <w:color w:val="F57757"/>
                <w:szCs w:val="20"/>
              </w:rPr>
            </w:pPr>
            <w:r w:rsidRPr="008C3C4D">
              <w:rPr>
                <w:b/>
                <w:color w:val="F57757"/>
                <w:szCs w:val="20"/>
              </w:rPr>
              <w:t>Target</w:t>
            </w:r>
          </w:p>
        </w:tc>
        <w:tc>
          <w:tcPr>
            <w:tcW w:w="2265" w:type="pct"/>
            <w:tcBorders>
              <w:left w:val="single" w:sz="12" w:space="0" w:color="FFFFFF" w:themeColor="background1"/>
              <w:right w:val="single" w:sz="12" w:space="0" w:color="FFFFFF"/>
            </w:tcBorders>
            <w:shd w:val="clear" w:color="auto" w:fill="F3F5E2"/>
            <w:vAlign w:val="center"/>
          </w:tcPr>
          <w:p w14:paraId="58E3AE8C" w14:textId="77777777" w:rsidR="008D5C30" w:rsidRPr="00042B28" w:rsidRDefault="008D5C30" w:rsidP="00CB36FE">
            <w:pPr>
              <w:rPr>
                <w:b/>
                <w:color w:val="F57757"/>
                <w:szCs w:val="20"/>
              </w:rPr>
            </w:pPr>
            <w:r w:rsidRPr="00042B28">
              <w:rPr>
                <w:b/>
                <w:color w:val="F57757"/>
                <w:szCs w:val="20"/>
              </w:rPr>
              <w:t>Critical Actions/Intervention Strategies</w:t>
            </w:r>
          </w:p>
        </w:tc>
        <w:tc>
          <w:tcPr>
            <w:tcW w:w="423" w:type="pct"/>
            <w:tcBorders>
              <w:left w:val="single" w:sz="12" w:space="0" w:color="FFFFFF"/>
            </w:tcBorders>
            <w:shd w:val="clear" w:color="auto" w:fill="F3F5E2"/>
            <w:vAlign w:val="center"/>
          </w:tcPr>
          <w:p w14:paraId="31AC16EA" w14:textId="77777777" w:rsidR="008D5C30" w:rsidRPr="00042B28" w:rsidRDefault="008D5C30" w:rsidP="003E23FD">
            <w:pPr>
              <w:spacing w:after="40" w:line="240" w:lineRule="auto"/>
              <w:rPr>
                <w:b/>
                <w:color w:val="F57757"/>
                <w:szCs w:val="20"/>
              </w:rPr>
            </w:pPr>
            <w:r w:rsidRPr="00042B28">
              <w:rPr>
                <w:b/>
                <w:color w:val="F57757"/>
                <w:szCs w:val="20"/>
              </w:rPr>
              <w:t>Status</w:t>
            </w:r>
            <w:r w:rsidRPr="00042B28">
              <w:rPr>
                <w:b/>
                <w:color w:val="F57757"/>
                <w:szCs w:val="20"/>
              </w:rPr>
              <w:br/>
              <w:t>R/Y/G</w:t>
            </w:r>
          </w:p>
        </w:tc>
      </w:tr>
      <w:tr w:rsidR="00DC2C5D" w14:paraId="2A94DFE5" w14:textId="77777777" w:rsidTr="00DC2C5D">
        <w:trPr>
          <w:trHeight w:val="2193"/>
        </w:trPr>
        <w:tc>
          <w:tcPr>
            <w:tcW w:w="1000" w:type="pct"/>
          </w:tcPr>
          <w:p w14:paraId="5C08C2A8" w14:textId="77777777" w:rsidR="008D5C30" w:rsidRPr="003E23FD" w:rsidRDefault="008D5C30" w:rsidP="006548C1">
            <w:pPr>
              <w:pStyle w:val="p1"/>
              <w:spacing w:line="260" w:lineRule="exact"/>
              <w:rPr>
                <w:rFonts w:ascii="Verdana" w:hAnsi="Verdana"/>
                <w:sz w:val="19"/>
                <w:szCs w:val="19"/>
              </w:rPr>
            </w:pPr>
            <w:r w:rsidRPr="003E23FD">
              <w:rPr>
                <w:rFonts w:ascii="Verdana" w:hAnsi="Verdana"/>
                <w:sz w:val="19"/>
                <w:szCs w:val="19"/>
              </w:rPr>
              <w:t>Contraceptive Use</w:t>
            </w:r>
          </w:p>
          <w:p w14:paraId="57209E9E" w14:textId="77777777" w:rsidR="008D5C30" w:rsidRPr="003E23FD" w:rsidRDefault="008D5C30" w:rsidP="006548C1">
            <w:pPr>
              <w:pStyle w:val="p1"/>
              <w:spacing w:line="260" w:lineRule="exact"/>
              <w:ind w:right="-102"/>
              <w:rPr>
                <w:rFonts w:ascii="Verdana" w:hAnsi="Verdana"/>
                <w:sz w:val="19"/>
                <w:szCs w:val="19"/>
              </w:rPr>
            </w:pPr>
            <w:r w:rsidRPr="003E23FD">
              <w:rPr>
                <w:rFonts w:ascii="Verdana" w:hAnsi="Verdana"/>
                <w:sz w:val="19"/>
                <w:szCs w:val="19"/>
              </w:rPr>
              <w:t>Percentage of female Title X clients aged 15-19 years using LARC</w:t>
            </w:r>
            <w:r w:rsidRPr="003E23FD">
              <w:rPr>
                <w:rStyle w:val="apple-converted-space"/>
                <w:rFonts w:ascii="Verdana" w:hAnsi="Verdana"/>
                <w:sz w:val="19"/>
                <w:szCs w:val="19"/>
              </w:rPr>
              <w:t> </w:t>
            </w:r>
          </w:p>
          <w:p w14:paraId="06055A27" w14:textId="592CC5E1" w:rsidR="008D5C30" w:rsidRPr="003E23FD" w:rsidRDefault="008D5C30" w:rsidP="006548C1">
            <w:pPr>
              <w:pStyle w:val="p2"/>
              <w:spacing w:after="20" w:line="260" w:lineRule="exact"/>
              <w:ind w:right="-115"/>
              <w:rPr>
                <w:rFonts w:ascii="Verdana" w:hAnsi="Verdana"/>
                <w:sz w:val="19"/>
                <w:szCs w:val="19"/>
              </w:rPr>
            </w:pPr>
            <w:r w:rsidRPr="003E23FD">
              <w:rPr>
                <w:rFonts w:ascii="Verdana" w:hAnsi="Verdana"/>
                <w:i/>
                <w:iCs/>
                <w:sz w:val="19"/>
                <w:szCs w:val="19"/>
              </w:rPr>
              <w:t>Data Source: CDC and</w:t>
            </w:r>
            <w:r w:rsidR="00CE4942">
              <w:rPr>
                <w:rFonts w:ascii="Verdana" w:hAnsi="Verdana"/>
                <w:i/>
                <w:iCs/>
                <w:sz w:val="19"/>
                <w:szCs w:val="19"/>
              </w:rPr>
              <w:br/>
            </w:r>
            <w:r w:rsidRPr="003E23FD">
              <w:rPr>
                <w:rFonts w:ascii="Verdana" w:hAnsi="Verdana"/>
                <w:i/>
                <w:iCs/>
                <w:sz w:val="19"/>
                <w:szCs w:val="19"/>
              </w:rPr>
              <w:t xml:space="preserve"> DHHS Office </w:t>
            </w:r>
            <w:r w:rsidR="00BC2366" w:rsidRPr="003E23FD">
              <w:rPr>
                <w:rFonts w:ascii="Verdana" w:hAnsi="Verdana"/>
                <w:i/>
                <w:iCs/>
                <w:sz w:val="19"/>
                <w:szCs w:val="19"/>
              </w:rPr>
              <w:br/>
            </w:r>
            <w:r w:rsidRPr="003E23FD">
              <w:rPr>
                <w:rFonts w:ascii="Verdana" w:hAnsi="Verdana"/>
                <w:i/>
                <w:iCs/>
                <w:sz w:val="19"/>
                <w:szCs w:val="19"/>
              </w:rPr>
              <w:t>of Population Affairs (MMWR 4/10/15)</w:t>
            </w:r>
          </w:p>
        </w:tc>
        <w:tc>
          <w:tcPr>
            <w:tcW w:w="485" w:type="pct"/>
          </w:tcPr>
          <w:p w14:paraId="166030FC" w14:textId="77777777" w:rsidR="008D5C30" w:rsidRPr="003E23FD" w:rsidRDefault="008D5C30" w:rsidP="006548C1">
            <w:pPr>
              <w:spacing w:line="260" w:lineRule="exact"/>
              <w:rPr>
                <w:sz w:val="19"/>
                <w:szCs w:val="19"/>
              </w:rPr>
            </w:pPr>
            <w:r w:rsidRPr="003E23FD">
              <w:rPr>
                <w:sz w:val="19"/>
                <w:szCs w:val="19"/>
              </w:rPr>
              <w:t>2013:</w:t>
            </w:r>
          </w:p>
          <w:p w14:paraId="0343EA79" w14:textId="10853B40" w:rsidR="008D5C30" w:rsidRPr="003E23FD" w:rsidRDefault="008D5C30" w:rsidP="006548C1">
            <w:pPr>
              <w:spacing w:line="260" w:lineRule="exact"/>
              <w:rPr>
                <w:sz w:val="19"/>
                <w:szCs w:val="19"/>
              </w:rPr>
            </w:pPr>
            <w:r w:rsidRPr="003E23FD">
              <w:rPr>
                <w:sz w:val="19"/>
                <w:szCs w:val="19"/>
              </w:rPr>
              <w:t>0.7%</w:t>
            </w:r>
          </w:p>
        </w:tc>
        <w:tc>
          <w:tcPr>
            <w:tcW w:w="411" w:type="pct"/>
          </w:tcPr>
          <w:p w14:paraId="2EEAC39D" w14:textId="77777777" w:rsidR="008D5C30" w:rsidRDefault="00B85AFE" w:rsidP="006548C1">
            <w:pPr>
              <w:spacing w:line="260" w:lineRule="exact"/>
              <w:rPr>
                <w:sz w:val="19"/>
                <w:szCs w:val="19"/>
              </w:rPr>
            </w:pPr>
            <w:r>
              <w:rPr>
                <w:sz w:val="19"/>
                <w:szCs w:val="19"/>
              </w:rPr>
              <w:t>October 2016 – August 2017</w:t>
            </w:r>
          </w:p>
          <w:p w14:paraId="5F86DCE7" w14:textId="7F0CCACA" w:rsidR="00B85AFE" w:rsidRPr="003E23FD" w:rsidRDefault="00B85AFE" w:rsidP="006548C1">
            <w:pPr>
              <w:spacing w:line="260" w:lineRule="exact"/>
              <w:rPr>
                <w:sz w:val="19"/>
                <w:szCs w:val="19"/>
              </w:rPr>
            </w:pPr>
            <w:r>
              <w:rPr>
                <w:sz w:val="19"/>
                <w:szCs w:val="19"/>
              </w:rPr>
              <w:t>4.5%</w:t>
            </w:r>
          </w:p>
        </w:tc>
        <w:tc>
          <w:tcPr>
            <w:tcW w:w="416" w:type="pct"/>
          </w:tcPr>
          <w:p w14:paraId="53D5658F" w14:textId="77777777" w:rsidR="008D5C30" w:rsidRPr="003E23FD" w:rsidRDefault="008D5C30" w:rsidP="006548C1">
            <w:pPr>
              <w:spacing w:line="260" w:lineRule="exact"/>
              <w:rPr>
                <w:sz w:val="19"/>
                <w:szCs w:val="19"/>
              </w:rPr>
            </w:pPr>
            <w:r w:rsidRPr="003E23FD">
              <w:rPr>
                <w:sz w:val="19"/>
                <w:szCs w:val="19"/>
              </w:rPr>
              <w:t>December 31, 2020:</w:t>
            </w:r>
          </w:p>
          <w:p w14:paraId="3CA5EF0C" w14:textId="1DBDCB58" w:rsidR="008D5C30" w:rsidRPr="003E23FD" w:rsidRDefault="008D5C30" w:rsidP="006548C1">
            <w:pPr>
              <w:spacing w:line="260" w:lineRule="exact"/>
              <w:rPr>
                <w:sz w:val="19"/>
                <w:szCs w:val="19"/>
              </w:rPr>
            </w:pPr>
            <w:r w:rsidRPr="003E23FD">
              <w:rPr>
                <w:sz w:val="19"/>
                <w:szCs w:val="19"/>
              </w:rPr>
              <w:t>1.5%</w:t>
            </w:r>
          </w:p>
        </w:tc>
        <w:tc>
          <w:tcPr>
            <w:tcW w:w="2265" w:type="pct"/>
          </w:tcPr>
          <w:p w14:paraId="3EB7F787" w14:textId="3641370C" w:rsidR="008D5C30" w:rsidRPr="003E23FD" w:rsidRDefault="008D5C30" w:rsidP="002E55BD">
            <w:pPr>
              <w:spacing w:after="120" w:line="260" w:lineRule="exact"/>
              <w:rPr>
                <w:sz w:val="19"/>
                <w:szCs w:val="19"/>
              </w:rPr>
            </w:pPr>
            <w:r w:rsidRPr="003E23FD">
              <w:rPr>
                <w:sz w:val="19"/>
                <w:szCs w:val="19"/>
              </w:rPr>
              <w:t xml:space="preserve">a. Develop health education campaign (PSA's, social media, </w:t>
            </w:r>
            <w:r w:rsidR="003F575B">
              <w:rPr>
                <w:sz w:val="19"/>
                <w:szCs w:val="19"/>
              </w:rPr>
              <w:br/>
            </w:r>
            <w:r w:rsidRPr="003E23FD">
              <w:rPr>
                <w:sz w:val="19"/>
                <w:szCs w:val="19"/>
              </w:rPr>
              <w:t xml:space="preserve">etc.) on contraceptive availability and usage, targeting Title X </w:t>
            </w:r>
            <w:r w:rsidR="003272AA">
              <w:rPr>
                <w:sz w:val="19"/>
                <w:szCs w:val="19"/>
              </w:rPr>
              <w:br/>
            </w:r>
            <w:r w:rsidRPr="003E23FD">
              <w:rPr>
                <w:sz w:val="19"/>
                <w:szCs w:val="19"/>
              </w:rPr>
              <w:t xml:space="preserve">clinic sites </w:t>
            </w:r>
          </w:p>
          <w:p w14:paraId="7B8053A4" w14:textId="23562128" w:rsidR="008D5C30" w:rsidRPr="003E23FD" w:rsidRDefault="008D5C30" w:rsidP="002E55BD">
            <w:pPr>
              <w:spacing w:after="120" w:line="260" w:lineRule="exact"/>
              <w:rPr>
                <w:sz w:val="19"/>
                <w:szCs w:val="19"/>
              </w:rPr>
            </w:pPr>
            <w:r w:rsidRPr="003E23FD">
              <w:rPr>
                <w:sz w:val="19"/>
                <w:szCs w:val="19"/>
              </w:rPr>
              <w:t>b. Provide evidence-based training an</w:t>
            </w:r>
            <w:r w:rsidR="00667622">
              <w:rPr>
                <w:sz w:val="19"/>
                <w:szCs w:val="19"/>
              </w:rPr>
              <w:t>d</w:t>
            </w:r>
            <w:r w:rsidRPr="003E23FD">
              <w:rPr>
                <w:sz w:val="19"/>
                <w:szCs w:val="19"/>
              </w:rPr>
              <w:t xml:space="preserve"> comprehensive clinical training on LARC insertions and contraceptive option counseling to Title X Clinic providers and staff</w:t>
            </w:r>
          </w:p>
        </w:tc>
        <w:tc>
          <w:tcPr>
            <w:tcW w:w="423" w:type="pct"/>
          </w:tcPr>
          <w:p w14:paraId="0515A62E" w14:textId="3CF63D1B" w:rsidR="008D5C30" w:rsidRPr="003E23FD" w:rsidRDefault="009E6392" w:rsidP="006548C1">
            <w:pPr>
              <w:spacing w:line="260" w:lineRule="exact"/>
              <w:rPr>
                <w:sz w:val="19"/>
                <w:szCs w:val="19"/>
              </w:rPr>
            </w:pPr>
            <w:r>
              <w:rPr>
                <w:sz w:val="19"/>
                <w:szCs w:val="19"/>
              </w:rPr>
              <w:t>G</w:t>
            </w:r>
          </w:p>
        </w:tc>
      </w:tr>
      <w:tr w:rsidR="003E23FD" w14:paraId="28810EC0" w14:textId="77777777" w:rsidTr="003E23FD">
        <w:trPr>
          <w:trHeight w:val="231"/>
        </w:trPr>
        <w:tc>
          <w:tcPr>
            <w:tcW w:w="5000" w:type="pct"/>
            <w:gridSpan w:val="6"/>
          </w:tcPr>
          <w:p w14:paraId="7E65F551" w14:textId="7F5F1DF2" w:rsidR="00D353C0" w:rsidRPr="00D353C0" w:rsidRDefault="00D353C0" w:rsidP="00BB251C">
            <w:pPr>
              <w:pStyle w:val="GoalLeads"/>
            </w:pPr>
            <w:r w:rsidRPr="00D353C0">
              <w:t>Organization/ Lead Person:  Mary Reed and Danielle Lampton, Comprehensive Reproductive Health and Adolescent Health Program, MSDH</w:t>
            </w:r>
          </w:p>
        </w:tc>
      </w:tr>
    </w:tbl>
    <w:p w14:paraId="75453F16" w14:textId="0E6DDFA7" w:rsidR="00CB36FE" w:rsidRDefault="00CB36FE" w:rsidP="003E23FD">
      <w:pPr>
        <w:spacing w:before="360"/>
      </w:pPr>
      <w:r w:rsidRPr="008A155C">
        <w:rPr>
          <w:b/>
        </w:rPr>
        <w:t>Strategic Objective</w:t>
      </w:r>
      <w:r w:rsidR="00440CD3">
        <w:rPr>
          <w:b/>
        </w:rPr>
        <w:t xml:space="preserve"> 2.0</w:t>
      </w:r>
      <w:r w:rsidRPr="008A155C">
        <w:t xml:space="preserve"> </w:t>
      </w:r>
      <w:r>
        <w:t>Reduce Sexually Transmitted Infections in individuals aged 15-19</w:t>
      </w:r>
    </w:p>
    <w:tbl>
      <w:tblPr>
        <w:tblStyle w:val="TableGrid"/>
        <w:tblW w:w="5107"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ook w:val="04A0" w:firstRow="1" w:lastRow="0" w:firstColumn="1" w:lastColumn="0" w:noHBand="0" w:noVBand="1"/>
      </w:tblPr>
      <w:tblGrid>
        <w:gridCol w:w="2963"/>
        <w:gridCol w:w="1583"/>
        <w:gridCol w:w="1423"/>
        <w:gridCol w:w="1162"/>
        <w:gridCol w:w="6522"/>
        <w:gridCol w:w="1276"/>
      </w:tblGrid>
      <w:tr w:rsidR="00916488" w14:paraId="726CDF64" w14:textId="77777777" w:rsidTr="00DC2C5D">
        <w:trPr>
          <w:trHeight w:val="591"/>
        </w:trPr>
        <w:tc>
          <w:tcPr>
            <w:tcW w:w="1000" w:type="pct"/>
            <w:tcBorders>
              <w:right w:val="single" w:sz="12" w:space="0" w:color="FFFFFF" w:themeColor="background1"/>
            </w:tcBorders>
            <w:shd w:val="clear" w:color="auto" w:fill="F3F5E2"/>
            <w:vAlign w:val="center"/>
          </w:tcPr>
          <w:p w14:paraId="7C92169D" w14:textId="77777777" w:rsidR="00CB36FE" w:rsidRPr="00042B28" w:rsidRDefault="00CB36FE" w:rsidP="003D32C7">
            <w:pPr>
              <w:rPr>
                <w:b/>
                <w:color w:val="F57757"/>
                <w:szCs w:val="20"/>
              </w:rPr>
            </w:pPr>
            <w:r w:rsidRPr="00042B28">
              <w:rPr>
                <w:b/>
                <w:color w:val="F57757"/>
                <w:szCs w:val="20"/>
              </w:rPr>
              <w:t>Measure</w:t>
            </w:r>
          </w:p>
        </w:tc>
        <w:tc>
          <w:tcPr>
            <w:tcW w:w="504" w:type="pct"/>
            <w:tcBorders>
              <w:left w:val="single" w:sz="12" w:space="0" w:color="FFFFFF" w:themeColor="background1"/>
              <w:right w:val="single" w:sz="12" w:space="0" w:color="FFFFFF" w:themeColor="background1"/>
            </w:tcBorders>
            <w:shd w:val="clear" w:color="auto" w:fill="F3F5E2"/>
            <w:vAlign w:val="center"/>
          </w:tcPr>
          <w:p w14:paraId="0B7A8D55" w14:textId="77777777" w:rsidR="00CB36FE" w:rsidRPr="008C3C4D" w:rsidRDefault="00CB36FE" w:rsidP="003D32C7">
            <w:pPr>
              <w:ind w:left="-280" w:firstLine="270"/>
              <w:rPr>
                <w:b/>
                <w:color w:val="F57757"/>
                <w:szCs w:val="20"/>
              </w:rPr>
            </w:pPr>
            <w:r w:rsidRPr="008C3C4D">
              <w:rPr>
                <w:b/>
                <w:color w:val="F57757"/>
                <w:szCs w:val="20"/>
              </w:rPr>
              <w:t>Baseline</w:t>
            </w:r>
          </w:p>
        </w:tc>
        <w:tc>
          <w:tcPr>
            <w:tcW w:w="472" w:type="pct"/>
            <w:tcBorders>
              <w:left w:val="single" w:sz="12" w:space="0" w:color="FFFFFF" w:themeColor="background1"/>
              <w:right w:val="single" w:sz="12" w:space="0" w:color="FFFFFF" w:themeColor="background1"/>
            </w:tcBorders>
            <w:shd w:val="clear" w:color="auto" w:fill="F3F5E2"/>
            <w:vAlign w:val="center"/>
          </w:tcPr>
          <w:p w14:paraId="778CB8F0" w14:textId="4D4CD04C" w:rsidR="00CB36FE" w:rsidRPr="008C3C4D" w:rsidRDefault="00CB36FE" w:rsidP="003E23FD">
            <w:pPr>
              <w:spacing w:after="0" w:line="240" w:lineRule="auto"/>
              <w:rPr>
                <w:b/>
                <w:color w:val="F57757"/>
                <w:szCs w:val="20"/>
              </w:rPr>
            </w:pPr>
            <w:r>
              <w:rPr>
                <w:b/>
                <w:color w:val="F57757"/>
                <w:szCs w:val="20"/>
              </w:rPr>
              <w:t>Current/</w:t>
            </w:r>
            <w:r w:rsidR="003E23FD">
              <w:rPr>
                <w:b/>
                <w:color w:val="F57757"/>
                <w:szCs w:val="20"/>
              </w:rPr>
              <w:br/>
            </w:r>
            <w:r>
              <w:rPr>
                <w:b/>
                <w:color w:val="F57757"/>
                <w:szCs w:val="20"/>
              </w:rPr>
              <w:t>Date</w:t>
            </w:r>
          </w:p>
        </w:tc>
        <w:tc>
          <w:tcPr>
            <w:tcW w:w="397" w:type="pct"/>
            <w:tcBorders>
              <w:left w:val="single" w:sz="12" w:space="0" w:color="FFFFFF" w:themeColor="background1"/>
              <w:right w:val="single" w:sz="12" w:space="0" w:color="FFFFFF" w:themeColor="background1"/>
            </w:tcBorders>
            <w:shd w:val="clear" w:color="auto" w:fill="F3F5E2"/>
            <w:vAlign w:val="center"/>
          </w:tcPr>
          <w:p w14:paraId="6C9FBED4" w14:textId="77777777" w:rsidR="00CB36FE" w:rsidRPr="008C3C4D" w:rsidRDefault="00CB36FE" w:rsidP="003D32C7">
            <w:pPr>
              <w:rPr>
                <w:b/>
                <w:color w:val="F57757"/>
                <w:szCs w:val="20"/>
              </w:rPr>
            </w:pPr>
            <w:r w:rsidRPr="008C3C4D">
              <w:rPr>
                <w:b/>
                <w:color w:val="F57757"/>
                <w:szCs w:val="20"/>
              </w:rPr>
              <w:t>Target</w:t>
            </w:r>
          </w:p>
        </w:tc>
        <w:tc>
          <w:tcPr>
            <w:tcW w:w="2192" w:type="pct"/>
            <w:tcBorders>
              <w:left w:val="single" w:sz="12" w:space="0" w:color="FFFFFF" w:themeColor="background1"/>
              <w:right w:val="single" w:sz="12" w:space="0" w:color="FFFFFF"/>
            </w:tcBorders>
            <w:shd w:val="clear" w:color="auto" w:fill="F3F5E2"/>
            <w:vAlign w:val="center"/>
          </w:tcPr>
          <w:p w14:paraId="4768BDBB" w14:textId="77777777" w:rsidR="00CB36FE" w:rsidRPr="00042B28" w:rsidRDefault="00CB36FE" w:rsidP="003D32C7">
            <w:pPr>
              <w:rPr>
                <w:b/>
                <w:color w:val="F57757"/>
                <w:szCs w:val="20"/>
              </w:rPr>
            </w:pPr>
            <w:r w:rsidRPr="00042B28">
              <w:rPr>
                <w:b/>
                <w:color w:val="F57757"/>
                <w:szCs w:val="20"/>
              </w:rPr>
              <w:t>Critical Actions/Intervention Strategies</w:t>
            </w:r>
          </w:p>
        </w:tc>
        <w:tc>
          <w:tcPr>
            <w:tcW w:w="435" w:type="pct"/>
            <w:tcBorders>
              <w:left w:val="single" w:sz="12" w:space="0" w:color="FFFFFF"/>
            </w:tcBorders>
            <w:shd w:val="clear" w:color="auto" w:fill="F3F5E2"/>
            <w:vAlign w:val="center"/>
          </w:tcPr>
          <w:p w14:paraId="18438C5F" w14:textId="77777777" w:rsidR="00CB36FE" w:rsidRPr="00042B28" w:rsidRDefault="00CB36FE" w:rsidP="003E23FD">
            <w:pPr>
              <w:spacing w:after="40" w:line="240" w:lineRule="auto"/>
              <w:rPr>
                <w:b/>
                <w:color w:val="F57757"/>
                <w:szCs w:val="20"/>
              </w:rPr>
            </w:pPr>
            <w:r w:rsidRPr="00042B28">
              <w:rPr>
                <w:b/>
                <w:color w:val="F57757"/>
                <w:szCs w:val="20"/>
              </w:rPr>
              <w:t>Status</w:t>
            </w:r>
            <w:r w:rsidRPr="00042B28">
              <w:rPr>
                <w:b/>
                <w:color w:val="F57757"/>
                <w:szCs w:val="20"/>
              </w:rPr>
              <w:br/>
              <w:t>R/Y/G</w:t>
            </w:r>
          </w:p>
        </w:tc>
      </w:tr>
      <w:tr w:rsidR="00E021FC" w14:paraId="7EFCE1B9" w14:textId="77777777" w:rsidTr="00DC2C5D">
        <w:trPr>
          <w:trHeight w:val="2022"/>
        </w:trPr>
        <w:tc>
          <w:tcPr>
            <w:tcW w:w="1000" w:type="pct"/>
          </w:tcPr>
          <w:p w14:paraId="163B7484" w14:textId="77777777" w:rsidR="00CB36FE" w:rsidRPr="003E23FD" w:rsidRDefault="00CB36FE" w:rsidP="003E23FD">
            <w:pPr>
              <w:spacing w:line="260" w:lineRule="exact"/>
              <w:rPr>
                <w:sz w:val="19"/>
                <w:szCs w:val="19"/>
              </w:rPr>
            </w:pPr>
            <w:r w:rsidRPr="003E23FD">
              <w:rPr>
                <w:sz w:val="19"/>
                <w:szCs w:val="19"/>
              </w:rPr>
              <w:t>Rate of chlamydia infections in individuals aged 15-19</w:t>
            </w:r>
          </w:p>
          <w:p w14:paraId="01F1B264" w14:textId="77777777" w:rsidR="00CB36FE" w:rsidRPr="003E23FD" w:rsidRDefault="00CB36FE" w:rsidP="003E23FD">
            <w:pPr>
              <w:spacing w:line="260" w:lineRule="exact"/>
              <w:rPr>
                <w:sz w:val="19"/>
                <w:szCs w:val="19"/>
              </w:rPr>
            </w:pPr>
            <w:r w:rsidRPr="003E23FD">
              <w:rPr>
                <w:sz w:val="19"/>
                <w:szCs w:val="19"/>
              </w:rPr>
              <w:t>Rate of gonorrhea infections in individuals aged 15-19</w:t>
            </w:r>
          </w:p>
          <w:p w14:paraId="6569E3ED" w14:textId="53E79695" w:rsidR="00CB36FE" w:rsidRPr="003E23FD" w:rsidRDefault="00CB36FE" w:rsidP="005A7CE2">
            <w:pPr>
              <w:spacing w:after="40" w:line="260" w:lineRule="exact"/>
              <w:rPr>
                <w:sz w:val="19"/>
                <w:szCs w:val="19"/>
              </w:rPr>
            </w:pPr>
            <w:r w:rsidRPr="003E23FD">
              <w:rPr>
                <w:sz w:val="19"/>
                <w:szCs w:val="19"/>
              </w:rPr>
              <w:t>Rate of new HIV infections in individuals aged 15-19</w:t>
            </w:r>
          </w:p>
        </w:tc>
        <w:tc>
          <w:tcPr>
            <w:tcW w:w="504" w:type="pct"/>
          </w:tcPr>
          <w:p w14:paraId="69BD88FC" w14:textId="77777777" w:rsidR="00916488" w:rsidRDefault="00916488" w:rsidP="00916488">
            <w:pPr>
              <w:pStyle w:val="BodySource"/>
              <w:spacing w:after="0" w:line="240" w:lineRule="auto"/>
              <w:rPr>
                <w:i w:val="0"/>
                <w:sz w:val="16"/>
                <w:szCs w:val="16"/>
              </w:rPr>
            </w:pPr>
            <w:r>
              <w:rPr>
                <w:i w:val="0"/>
                <w:sz w:val="16"/>
                <w:szCs w:val="16"/>
              </w:rPr>
              <w:t>2013</w:t>
            </w:r>
          </w:p>
          <w:p w14:paraId="70627AD1" w14:textId="02797238" w:rsidR="00CB36FE" w:rsidRDefault="00916488" w:rsidP="00916488">
            <w:pPr>
              <w:pStyle w:val="BodySource"/>
              <w:spacing w:after="0" w:line="240" w:lineRule="auto"/>
              <w:rPr>
                <w:i w:val="0"/>
                <w:sz w:val="16"/>
                <w:szCs w:val="16"/>
              </w:rPr>
            </w:pPr>
            <w:r w:rsidRPr="00916488">
              <w:rPr>
                <w:i w:val="0"/>
                <w:sz w:val="16"/>
                <w:szCs w:val="16"/>
              </w:rPr>
              <w:t>2</w:t>
            </w:r>
            <w:r>
              <w:rPr>
                <w:i w:val="0"/>
                <w:sz w:val="16"/>
                <w:szCs w:val="16"/>
              </w:rPr>
              <w:t>,</w:t>
            </w:r>
            <w:r w:rsidRPr="00916488">
              <w:rPr>
                <w:i w:val="0"/>
                <w:sz w:val="16"/>
                <w:szCs w:val="16"/>
              </w:rPr>
              <w:t>725.4/100,000</w:t>
            </w:r>
          </w:p>
          <w:p w14:paraId="0D0E9658" w14:textId="77777777" w:rsidR="00916488" w:rsidRDefault="00916488" w:rsidP="00916488">
            <w:pPr>
              <w:pStyle w:val="BodySource"/>
              <w:spacing w:after="0" w:line="240" w:lineRule="auto"/>
              <w:rPr>
                <w:i w:val="0"/>
                <w:sz w:val="16"/>
                <w:szCs w:val="16"/>
              </w:rPr>
            </w:pPr>
          </w:p>
          <w:p w14:paraId="03AA6F89" w14:textId="77777777" w:rsidR="00916488" w:rsidRDefault="00916488" w:rsidP="00916488">
            <w:pPr>
              <w:pStyle w:val="BodySource"/>
              <w:spacing w:after="0" w:line="240" w:lineRule="auto"/>
              <w:rPr>
                <w:i w:val="0"/>
                <w:sz w:val="16"/>
                <w:szCs w:val="16"/>
              </w:rPr>
            </w:pPr>
          </w:p>
          <w:p w14:paraId="3C858BC6" w14:textId="77777777" w:rsidR="00916488" w:rsidRDefault="00916488" w:rsidP="00916488">
            <w:pPr>
              <w:pStyle w:val="BodySource"/>
              <w:spacing w:after="0" w:line="240" w:lineRule="auto"/>
              <w:rPr>
                <w:i w:val="0"/>
                <w:sz w:val="16"/>
                <w:szCs w:val="16"/>
              </w:rPr>
            </w:pPr>
            <w:r>
              <w:rPr>
                <w:i w:val="0"/>
                <w:sz w:val="16"/>
                <w:szCs w:val="16"/>
              </w:rPr>
              <w:t>2013</w:t>
            </w:r>
          </w:p>
          <w:p w14:paraId="2100E424" w14:textId="77777777" w:rsidR="00916488" w:rsidRDefault="00916488" w:rsidP="00916488">
            <w:pPr>
              <w:pStyle w:val="BodySource"/>
              <w:spacing w:after="0" w:line="240" w:lineRule="auto"/>
              <w:rPr>
                <w:i w:val="0"/>
                <w:sz w:val="16"/>
                <w:szCs w:val="16"/>
              </w:rPr>
            </w:pPr>
            <w:r>
              <w:rPr>
                <w:i w:val="0"/>
                <w:sz w:val="16"/>
                <w:szCs w:val="16"/>
              </w:rPr>
              <w:t>633.4/100,000</w:t>
            </w:r>
          </w:p>
          <w:p w14:paraId="521A496A" w14:textId="77777777" w:rsidR="00916488" w:rsidRDefault="00916488" w:rsidP="00916488">
            <w:pPr>
              <w:pStyle w:val="BodySource"/>
              <w:spacing w:after="0" w:line="240" w:lineRule="auto"/>
              <w:rPr>
                <w:i w:val="0"/>
                <w:sz w:val="16"/>
                <w:szCs w:val="16"/>
              </w:rPr>
            </w:pPr>
          </w:p>
          <w:p w14:paraId="557F574D" w14:textId="77777777" w:rsidR="00916488" w:rsidRDefault="00916488" w:rsidP="00916488">
            <w:pPr>
              <w:pStyle w:val="BodySource"/>
              <w:spacing w:after="0" w:line="240" w:lineRule="auto"/>
              <w:rPr>
                <w:i w:val="0"/>
                <w:sz w:val="16"/>
                <w:szCs w:val="16"/>
              </w:rPr>
            </w:pPr>
            <w:r>
              <w:rPr>
                <w:i w:val="0"/>
                <w:sz w:val="16"/>
                <w:szCs w:val="16"/>
              </w:rPr>
              <w:t>2013</w:t>
            </w:r>
          </w:p>
          <w:p w14:paraId="1EFBC2B8" w14:textId="3B69D5C0" w:rsidR="00916488" w:rsidRDefault="00916488" w:rsidP="00916488">
            <w:pPr>
              <w:pStyle w:val="BodySource"/>
              <w:spacing w:after="0" w:line="240" w:lineRule="auto"/>
              <w:rPr>
                <w:i w:val="0"/>
                <w:sz w:val="16"/>
                <w:szCs w:val="16"/>
              </w:rPr>
            </w:pPr>
            <w:r>
              <w:rPr>
                <w:i w:val="0"/>
                <w:sz w:val="16"/>
                <w:szCs w:val="16"/>
              </w:rPr>
              <w:t>15.9/100,000</w:t>
            </w:r>
          </w:p>
          <w:p w14:paraId="579A9B32" w14:textId="19A318F3" w:rsidR="00916488" w:rsidRPr="00916488" w:rsidRDefault="00916488" w:rsidP="00916488">
            <w:pPr>
              <w:pStyle w:val="BodySource"/>
              <w:spacing w:after="0" w:line="240" w:lineRule="auto"/>
              <w:rPr>
                <w:i w:val="0"/>
                <w:sz w:val="16"/>
                <w:szCs w:val="16"/>
              </w:rPr>
            </w:pPr>
          </w:p>
        </w:tc>
        <w:tc>
          <w:tcPr>
            <w:tcW w:w="472" w:type="pct"/>
          </w:tcPr>
          <w:p w14:paraId="39EAD96C" w14:textId="77777777" w:rsidR="00916488" w:rsidRPr="00916488" w:rsidRDefault="00916488" w:rsidP="00916488">
            <w:pPr>
              <w:spacing w:after="0" w:line="260" w:lineRule="exact"/>
              <w:rPr>
                <w:sz w:val="16"/>
                <w:szCs w:val="16"/>
              </w:rPr>
            </w:pPr>
            <w:r w:rsidRPr="00916488">
              <w:rPr>
                <w:sz w:val="16"/>
                <w:szCs w:val="16"/>
              </w:rPr>
              <w:t>2016</w:t>
            </w:r>
          </w:p>
          <w:p w14:paraId="7379F828" w14:textId="01A3E199" w:rsidR="00916488" w:rsidRDefault="00916488" w:rsidP="00916488">
            <w:pPr>
              <w:spacing w:after="0" w:line="260" w:lineRule="exact"/>
              <w:rPr>
                <w:sz w:val="16"/>
                <w:szCs w:val="16"/>
              </w:rPr>
            </w:pPr>
            <w:r w:rsidRPr="00916488">
              <w:rPr>
                <w:sz w:val="16"/>
                <w:szCs w:val="16"/>
              </w:rPr>
              <w:t>3,123</w:t>
            </w:r>
            <w:r>
              <w:rPr>
                <w:sz w:val="16"/>
                <w:szCs w:val="16"/>
              </w:rPr>
              <w:t>/100,000</w:t>
            </w:r>
          </w:p>
          <w:p w14:paraId="6710B759" w14:textId="77777777" w:rsidR="00916488" w:rsidRDefault="00916488" w:rsidP="00916488">
            <w:pPr>
              <w:spacing w:after="0" w:line="260" w:lineRule="exact"/>
              <w:rPr>
                <w:sz w:val="16"/>
                <w:szCs w:val="16"/>
              </w:rPr>
            </w:pPr>
          </w:p>
          <w:p w14:paraId="25614C98" w14:textId="77777777" w:rsidR="00916488" w:rsidRDefault="00916488" w:rsidP="00916488">
            <w:pPr>
              <w:spacing w:after="0" w:line="260" w:lineRule="exact"/>
              <w:rPr>
                <w:sz w:val="16"/>
                <w:szCs w:val="16"/>
              </w:rPr>
            </w:pPr>
            <w:r>
              <w:rPr>
                <w:sz w:val="16"/>
                <w:szCs w:val="16"/>
              </w:rPr>
              <w:t>2016</w:t>
            </w:r>
          </w:p>
          <w:p w14:paraId="20C430B2" w14:textId="77777777" w:rsidR="00916488" w:rsidRDefault="00916488" w:rsidP="00916488">
            <w:pPr>
              <w:spacing w:after="120" w:line="260" w:lineRule="exact"/>
              <w:rPr>
                <w:sz w:val="16"/>
                <w:szCs w:val="16"/>
              </w:rPr>
            </w:pPr>
            <w:r>
              <w:rPr>
                <w:sz w:val="16"/>
                <w:szCs w:val="16"/>
              </w:rPr>
              <w:t>869.8/100,000</w:t>
            </w:r>
          </w:p>
          <w:p w14:paraId="36CB50B1" w14:textId="77777777" w:rsidR="00916488" w:rsidRDefault="00916488" w:rsidP="00916488">
            <w:pPr>
              <w:spacing w:after="0" w:line="260" w:lineRule="exact"/>
              <w:rPr>
                <w:sz w:val="16"/>
                <w:szCs w:val="16"/>
              </w:rPr>
            </w:pPr>
            <w:r>
              <w:rPr>
                <w:sz w:val="16"/>
                <w:szCs w:val="16"/>
              </w:rPr>
              <w:t>2016</w:t>
            </w:r>
          </w:p>
          <w:p w14:paraId="75286053" w14:textId="26465C53" w:rsidR="00916488" w:rsidRDefault="00916488" w:rsidP="00916488">
            <w:pPr>
              <w:spacing w:after="0" w:line="260" w:lineRule="exact"/>
              <w:rPr>
                <w:sz w:val="16"/>
                <w:szCs w:val="16"/>
              </w:rPr>
            </w:pPr>
            <w:r>
              <w:rPr>
                <w:sz w:val="16"/>
                <w:szCs w:val="16"/>
              </w:rPr>
              <w:t>12.5/100,000</w:t>
            </w:r>
          </w:p>
          <w:p w14:paraId="20D06110" w14:textId="77777777" w:rsidR="00916488" w:rsidRPr="00916488" w:rsidRDefault="00916488" w:rsidP="00916488">
            <w:pPr>
              <w:spacing w:after="0" w:line="260" w:lineRule="exact"/>
              <w:rPr>
                <w:sz w:val="16"/>
                <w:szCs w:val="16"/>
              </w:rPr>
            </w:pPr>
          </w:p>
          <w:p w14:paraId="6140C353" w14:textId="77777777" w:rsidR="00916488" w:rsidRPr="00916488" w:rsidRDefault="00916488" w:rsidP="00916488">
            <w:pPr>
              <w:spacing w:after="0" w:line="260" w:lineRule="exact"/>
              <w:rPr>
                <w:sz w:val="16"/>
                <w:szCs w:val="16"/>
              </w:rPr>
            </w:pPr>
          </w:p>
        </w:tc>
        <w:tc>
          <w:tcPr>
            <w:tcW w:w="397" w:type="pct"/>
          </w:tcPr>
          <w:p w14:paraId="5F9AC454" w14:textId="395D89F3" w:rsidR="00CB36FE" w:rsidRPr="00E021FC" w:rsidRDefault="00916488" w:rsidP="00E021FC">
            <w:pPr>
              <w:spacing w:line="260" w:lineRule="exact"/>
              <w:jc w:val="center"/>
              <w:rPr>
                <w:i/>
                <w:sz w:val="16"/>
                <w:szCs w:val="16"/>
              </w:rPr>
            </w:pPr>
            <w:r w:rsidRPr="00E021FC">
              <w:rPr>
                <w:i/>
                <w:sz w:val="16"/>
                <w:szCs w:val="16"/>
              </w:rPr>
              <w:t>(</w:t>
            </w:r>
            <w:r w:rsidR="00E021FC" w:rsidRPr="00E021FC">
              <w:rPr>
                <w:i/>
                <w:sz w:val="16"/>
                <w:szCs w:val="16"/>
              </w:rPr>
              <w:t>To be determined by com</w:t>
            </w:r>
            <w:bookmarkStart w:id="0" w:name="_GoBack"/>
            <w:bookmarkEnd w:id="0"/>
            <w:r w:rsidR="00E021FC" w:rsidRPr="00E021FC">
              <w:rPr>
                <w:i/>
                <w:sz w:val="16"/>
                <w:szCs w:val="16"/>
              </w:rPr>
              <w:t>mittee)</w:t>
            </w:r>
          </w:p>
        </w:tc>
        <w:tc>
          <w:tcPr>
            <w:tcW w:w="2192" w:type="pct"/>
          </w:tcPr>
          <w:p w14:paraId="25AC9D30" w14:textId="77777777" w:rsidR="00CB36FE" w:rsidRPr="003E23FD" w:rsidRDefault="00CB36FE" w:rsidP="002E55BD">
            <w:pPr>
              <w:spacing w:after="120" w:line="260" w:lineRule="exact"/>
              <w:rPr>
                <w:rFonts w:ascii="Macho" w:hAnsi="Macho"/>
                <w:sz w:val="19"/>
                <w:szCs w:val="19"/>
              </w:rPr>
            </w:pPr>
            <w:r w:rsidRPr="003E23FD">
              <w:rPr>
                <w:sz w:val="19"/>
                <w:szCs w:val="19"/>
              </w:rPr>
              <w:t>a. Support implementation of high quality sexuality education curricula in middle and high schools in accordance with state law</w:t>
            </w:r>
          </w:p>
          <w:p w14:paraId="6A16F8C7" w14:textId="77777777" w:rsidR="00CB36FE" w:rsidRPr="003E23FD" w:rsidRDefault="00CB36FE" w:rsidP="002E55BD">
            <w:pPr>
              <w:spacing w:after="120" w:line="260" w:lineRule="exact"/>
              <w:rPr>
                <w:sz w:val="19"/>
                <w:szCs w:val="19"/>
              </w:rPr>
            </w:pPr>
            <w:r w:rsidRPr="003E23FD">
              <w:rPr>
                <w:sz w:val="19"/>
                <w:szCs w:val="19"/>
              </w:rPr>
              <w:t>b. Support sexuality education teacher trainings and professional development</w:t>
            </w:r>
            <w:r w:rsidRPr="003E23FD">
              <w:rPr>
                <w:rStyle w:val="apple-converted-space"/>
                <w:sz w:val="19"/>
                <w:szCs w:val="19"/>
              </w:rPr>
              <w:t> </w:t>
            </w:r>
          </w:p>
          <w:p w14:paraId="4B6C0EFF" w14:textId="18F315C0" w:rsidR="00CB36FE" w:rsidRPr="003E23FD" w:rsidRDefault="00CB36FE" w:rsidP="002E55BD">
            <w:pPr>
              <w:spacing w:after="120" w:line="260" w:lineRule="exact"/>
              <w:rPr>
                <w:rFonts w:ascii="Macho" w:hAnsi="Macho"/>
                <w:sz w:val="19"/>
                <w:szCs w:val="19"/>
              </w:rPr>
            </w:pPr>
            <w:r w:rsidRPr="003E23FD">
              <w:rPr>
                <w:sz w:val="19"/>
                <w:szCs w:val="19"/>
              </w:rPr>
              <w:t>c. Develop and implement community-based initiatives related to safe sex and correct condom usage</w:t>
            </w:r>
          </w:p>
        </w:tc>
        <w:tc>
          <w:tcPr>
            <w:tcW w:w="435" w:type="pct"/>
          </w:tcPr>
          <w:p w14:paraId="0B881792" w14:textId="4D9313D1" w:rsidR="00CB36FE" w:rsidRPr="003E23FD" w:rsidRDefault="009E6392" w:rsidP="003E23FD">
            <w:pPr>
              <w:spacing w:line="260" w:lineRule="exact"/>
              <w:rPr>
                <w:sz w:val="19"/>
                <w:szCs w:val="19"/>
              </w:rPr>
            </w:pPr>
            <w:r>
              <w:rPr>
                <w:sz w:val="19"/>
                <w:szCs w:val="19"/>
              </w:rPr>
              <w:t>Y</w:t>
            </w:r>
          </w:p>
        </w:tc>
      </w:tr>
      <w:tr w:rsidR="003E23FD" w14:paraId="4C20F3C8" w14:textId="77777777" w:rsidTr="005A7CE2">
        <w:trPr>
          <w:trHeight w:val="366"/>
        </w:trPr>
        <w:tc>
          <w:tcPr>
            <w:tcW w:w="5000" w:type="pct"/>
            <w:gridSpan w:val="6"/>
          </w:tcPr>
          <w:p w14:paraId="466C846C" w14:textId="2904553A" w:rsidR="00CB36FE" w:rsidRPr="005A7CE2" w:rsidRDefault="005A7CE2" w:rsidP="00BB251C">
            <w:pPr>
              <w:pStyle w:val="GoalLeads"/>
            </w:pPr>
            <w:r w:rsidRPr="005A7CE2">
              <w:t>Organization/ Lead Person: a. Kenyatta Parker, PREP, MSDH; b. Estelle Watts, Office of Healthy Schools, MDE; c. Danielle Lampton, Adolescent Health Program, MSDH d. MSDH STI/HIV Office</w:t>
            </w:r>
          </w:p>
        </w:tc>
      </w:tr>
    </w:tbl>
    <w:p w14:paraId="3A21BD43" w14:textId="77777777" w:rsidR="00CE4942" w:rsidRDefault="00CE4942" w:rsidP="002E55BD">
      <w:pPr>
        <w:pStyle w:val="H3Green"/>
      </w:pPr>
    </w:p>
    <w:p w14:paraId="580344FA" w14:textId="4183456A" w:rsidR="001E3354" w:rsidRDefault="005D785C" w:rsidP="001E3354">
      <w:pPr>
        <w:pStyle w:val="H3Green"/>
      </w:pPr>
      <w:r>
        <w:lastRenderedPageBreak/>
        <w:t>APPENDIX L:</w:t>
      </w:r>
      <w:r w:rsidR="001E3354" w:rsidRPr="00D60B29">
        <w:t xml:space="preserve"> Mississippi State Community Scorecard – 2016</w:t>
      </w:r>
      <w:r w:rsidR="001E3354">
        <w:br/>
      </w:r>
      <w:r>
        <w:t xml:space="preserve">PRIORITY AREA #1: </w:t>
      </w:r>
      <w:r w:rsidR="001E3354" w:rsidRPr="00D60B29">
        <w:t>Increase Educational Attainment</w:t>
      </w:r>
    </w:p>
    <w:p w14:paraId="0DF05541" w14:textId="1F4F2FF8" w:rsidR="001E3354" w:rsidRPr="001E3354" w:rsidRDefault="0063064F" w:rsidP="001E3354">
      <w:pPr>
        <w:pStyle w:val="H3Blue"/>
      </w:pPr>
      <w:r>
        <w:t xml:space="preserve">Goal 1.0 </w:t>
      </w:r>
      <w:r w:rsidR="001E3354" w:rsidRPr="008A155C">
        <w:t>Increase high school graduation rates</w:t>
      </w:r>
    </w:p>
    <w:p w14:paraId="112E0463" w14:textId="79FDDCB5" w:rsidR="002E55BD" w:rsidRDefault="002E55BD" w:rsidP="002E55BD">
      <w:r w:rsidRPr="008A155C">
        <w:rPr>
          <w:b/>
        </w:rPr>
        <w:t>Strategic Objective</w:t>
      </w:r>
      <w:r w:rsidR="00B74A9A">
        <w:rPr>
          <w:b/>
        </w:rPr>
        <w:t xml:space="preserve"> 3</w:t>
      </w:r>
      <w:r>
        <w:rPr>
          <w:b/>
        </w:rPr>
        <w:t xml:space="preserve">.0 </w:t>
      </w:r>
      <w:r w:rsidR="00B74A9A">
        <w:t>Improve mental health support services in school-based health settings</w:t>
      </w:r>
    </w:p>
    <w:tbl>
      <w:tblPr>
        <w:tblStyle w:val="TableGrid"/>
        <w:tblW w:w="5107"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ook w:val="04A0" w:firstRow="1" w:lastRow="0" w:firstColumn="1" w:lastColumn="0" w:noHBand="0" w:noVBand="1"/>
      </w:tblPr>
      <w:tblGrid>
        <w:gridCol w:w="2481"/>
        <w:gridCol w:w="1505"/>
        <w:gridCol w:w="1615"/>
        <w:gridCol w:w="1263"/>
        <w:gridCol w:w="6766"/>
        <w:gridCol w:w="1299"/>
      </w:tblGrid>
      <w:tr w:rsidR="00DC2C5D" w14:paraId="7FC37AB5" w14:textId="77777777" w:rsidTr="00DC2C5D">
        <w:trPr>
          <w:trHeight w:val="618"/>
        </w:trPr>
        <w:tc>
          <w:tcPr>
            <w:tcW w:w="831" w:type="pct"/>
            <w:tcBorders>
              <w:right w:val="single" w:sz="12" w:space="0" w:color="FFFFFF" w:themeColor="background1"/>
            </w:tcBorders>
            <w:shd w:val="clear" w:color="auto" w:fill="F3F5E2"/>
            <w:vAlign w:val="center"/>
          </w:tcPr>
          <w:p w14:paraId="2D6B0649" w14:textId="77777777" w:rsidR="002E55BD" w:rsidRPr="00042B28" w:rsidRDefault="002E55BD" w:rsidP="003D32C7">
            <w:pPr>
              <w:rPr>
                <w:b/>
                <w:color w:val="F57757"/>
                <w:szCs w:val="20"/>
              </w:rPr>
            </w:pPr>
            <w:r w:rsidRPr="00042B28">
              <w:rPr>
                <w:b/>
                <w:color w:val="F57757"/>
                <w:szCs w:val="20"/>
              </w:rPr>
              <w:t>Measure</w:t>
            </w:r>
          </w:p>
        </w:tc>
        <w:tc>
          <w:tcPr>
            <w:tcW w:w="504" w:type="pct"/>
            <w:tcBorders>
              <w:left w:val="single" w:sz="12" w:space="0" w:color="FFFFFF" w:themeColor="background1"/>
              <w:right w:val="single" w:sz="12" w:space="0" w:color="FFFFFF" w:themeColor="background1"/>
            </w:tcBorders>
            <w:shd w:val="clear" w:color="auto" w:fill="F3F5E2"/>
            <w:vAlign w:val="center"/>
          </w:tcPr>
          <w:p w14:paraId="7DDCDA75" w14:textId="77777777" w:rsidR="002E55BD" w:rsidRPr="008C3C4D" w:rsidRDefault="002E55BD" w:rsidP="003D32C7">
            <w:pPr>
              <w:ind w:left="-280" w:firstLine="270"/>
              <w:rPr>
                <w:b/>
                <w:color w:val="F57757"/>
                <w:szCs w:val="20"/>
              </w:rPr>
            </w:pPr>
            <w:r w:rsidRPr="008C3C4D">
              <w:rPr>
                <w:b/>
                <w:color w:val="F57757"/>
                <w:szCs w:val="20"/>
              </w:rPr>
              <w:t>Baseline</w:t>
            </w:r>
          </w:p>
        </w:tc>
        <w:tc>
          <w:tcPr>
            <w:tcW w:w="541" w:type="pct"/>
            <w:tcBorders>
              <w:left w:val="single" w:sz="12" w:space="0" w:color="FFFFFF" w:themeColor="background1"/>
              <w:right w:val="single" w:sz="12" w:space="0" w:color="FFFFFF" w:themeColor="background1"/>
            </w:tcBorders>
            <w:shd w:val="clear" w:color="auto" w:fill="F3F5E2"/>
            <w:vAlign w:val="center"/>
          </w:tcPr>
          <w:p w14:paraId="1CB5C6B2" w14:textId="77777777" w:rsidR="002E55BD" w:rsidRPr="008C3C4D" w:rsidRDefault="002E55BD" w:rsidP="003D32C7">
            <w:pPr>
              <w:spacing w:after="0" w:line="240" w:lineRule="auto"/>
              <w:rPr>
                <w:b/>
                <w:color w:val="F57757"/>
                <w:szCs w:val="20"/>
              </w:rPr>
            </w:pPr>
            <w:r>
              <w:rPr>
                <w:b/>
                <w:color w:val="F57757"/>
                <w:szCs w:val="20"/>
              </w:rPr>
              <w:t>Current/</w:t>
            </w:r>
            <w:r>
              <w:rPr>
                <w:b/>
                <w:color w:val="F57757"/>
                <w:szCs w:val="20"/>
              </w:rPr>
              <w:br/>
              <w:t>Date</w:t>
            </w:r>
          </w:p>
        </w:tc>
        <w:tc>
          <w:tcPr>
            <w:tcW w:w="423" w:type="pct"/>
            <w:tcBorders>
              <w:left w:val="single" w:sz="12" w:space="0" w:color="FFFFFF" w:themeColor="background1"/>
              <w:right w:val="single" w:sz="12" w:space="0" w:color="FFFFFF" w:themeColor="background1"/>
            </w:tcBorders>
            <w:shd w:val="clear" w:color="auto" w:fill="F3F5E2"/>
            <w:vAlign w:val="center"/>
          </w:tcPr>
          <w:p w14:paraId="04946ED0" w14:textId="77777777" w:rsidR="002E55BD" w:rsidRPr="008C3C4D" w:rsidRDefault="002E55BD" w:rsidP="003D32C7">
            <w:pPr>
              <w:rPr>
                <w:b/>
                <w:color w:val="F57757"/>
                <w:szCs w:val="20"/>
              </w:rPr>
            </w:pPr>
            <w:r w:rsidRPr="008C3C4D">
              <w:rPr>
                <w:b/>
                <w:color w:val="F57757"/>
                <w:szCs w:val="20"/>
              </w:rPr>
              <w:t>Target</w:t>
            </w:r>
          </w:p>
        </w:tc>
        <w:tc>
          <w:tcPr>
            <w:tcW w:w="2266" w:type="pct"/>
            <w:tcBorders>
              <w:left w:val="single" w:sz="12" w:space="0" w:color="FFFFFF" w:themeColor="background1"/>
              <w:right w:val="single" w:sz="12" w:space="0" w:color="FFFFFF"/>
            </w:tcBorders>
            <w:shd w:val="clear" w:color="auto" w:fill="F3F5E2"/>
            <w:vAlign w:val="center"/>
          </w:tcPr>
          <w:p w14:paraId="4D6BD45D" w14:textId="77777777" w:rsidR="002E55BD" w:rsidRPr="00042B28" w:rsidRDefault="002E55BD" w:rsidP="003D32C7">
            <w:pPr>
              <w:rPr>
                <w:b/>
                <w:color w:val="F57757"/>
                <w:szCs w:val="20"/>
              </w:rPr>
            </w:pPr>
            <w:r w:rsidRPr="00042B28">
              <w:rPr>
                <w:b/>
                <w:color w:val="F57757"/>
                <w:szCs w:val="20"/>
              </w:rPr>
              <w:t>Critical Actions/Intervention Strategies</w:t>
            </w:r>
          </w:p>
        </w:tc>
        <w:tc>
          <w:tcPr>
            <w:tcW w:w="435" w:type="pct"/>
            <w:tcBorders>
              <w:left w:val="single" w:sz="12" w:space="0" w:color="FFFFFF"/>
            </w:tcBorders>
            <w:shd w:val="clear" w:color="auto" w:fill="F3F5E2"/>
            <w:vAlign w:val="center"/>
          </w:tcPr>
          <w:p w14:paraId="3CBED378" w14:textId="77777777" w:rsidR="002E55BD" w:rsidRPr="00042B28" w:rsidRDefault="002E55BD" w:rsidP="003D32C7">
            <w:pPr>
              <w:spacing w:after="40" w:line="240" w:lineRule="auto"/>
              <w:rPr>
                <w:b/>
                <w:color w:val="F57757"/>
                <w:szCs w:val="20"/>
              </w:rPr>
            </w:pPr>
            <w:r w:rsidRPr="00042B28">
              <w:rPr>
                <w:b/>
                <w:color w:val="F57757"/>
                <w:szCs w:val="20"/>
              </w:rPr>
              <w:t>Status</w:t>
            </w:r>
            <w:r w:rsidRPr="00042B28">
              <w:rPr>
                <w:b/>
                <w:color w:val="F57757"/>
                <w:szCs w:val="20"/>
              </w:rPr>
              <w:br/>
              <w:t>R/Y/G</w:t>
            </w:r>
          </w:p>
        </w:tc>
      </w:tr>
      <w:tr w:rsidR="00DC2C5D" w14:paraId="089788F0" w14:textId="77777777" w:rsidTr="00DC2C5D">
        <w:trPr>
          <w:trHeight w:val="2193"/>
        </w:trPr>
        <w:tc>
          <w:tcPr>
            <w:tcW w:w="831" w:type="pct"/>
          </w:tcPr>
          <w:p w14:paraId="609868B0" w14:textId="5018F666" w:rsidR="001E3354" w:rsidRDefault="001E3354" w:rsidP="001E3354">
            <w:pPr>
              <w:pStyle w:val="p2"/>
              <w:spacing w:after="120" w:line="260" w:lineRule="exact"/>
              <w:ind w:right="-115"/>
              <w:rPr>
                <w:rFonts w:ascii="Verdana" w:hAnsi="Verdana"/>
                <w:sz w:val="19"/>
                <w:szCs w:val="19"/>
              </w:rPr>
            </w:pPr>
            <w:r w:rsidRPr="001E3354">
              <w:rPr>
                <w:rFonts w:ascii="Verdana" w:hAnsi="Verdana"/>
                <w:sz w:val="19"/>
                <w:szCs w:val="19"/>
              </w:rPr>
              <w:t xml:space="preserve">Percentage of SBHC utilizing </w:t>
            </w:r>
            <w:r w:rsidR="00B74A9A">
              <w:rPr>
                <w:rFonts w:ascii="Verdana" w:hAnsi="Verdana"/>
                <w:sz w:val="19"/>
                <w:szCs w:val="19"/>
              </w:rPr>
              <w:t>a validated clinical assessment tool for depression during EPSDT screenings for children aged 11 and up</w:t>
            </w:r>
          </w:p>
          <w:p w14:paraId="094762F9" w14:textId="230A6383" w:rsidR="002E55BD" w:rsidRPr="003E23FD" w:rsidRDefault="001E3354" w:rsidP="001E3354">
            <w:pPr>
              <w:pStyle w:val="p2"/>
              <w:spacing w:after="120" w:line="260" w:lineRule="exact"/>
              <w:ind w:right="-115"/>
              <w:rPr>
                <w:rFonts w:ascii="Verdana" w:hAnsi="Verdana"/>
                <w:sz w:val="19"/>
                <w:szCs w:val="19"/>
              </w:rPr>
            </w:pPr>
            <w:r w:rsidRPr="001E3354">
              <w:rPr>
                <w:rFonts w:ascii="Verdana" w:hAnsi="Verdana"/>
                <w:sz w:val="19"/>
                <w:szCs w:val="19"/>
              </w:rPr>
              <w:t>Percentage of SBHC who report a referral process is in place with local MH providers</w:t>
            </w:r>
          </w:p>
        </w:tc>
        <w:tc>
          <w:tcPr>
            <w:tcW w:w="504" w:type="pct"/>
          </w:tcPr>
          <w:p w14:paraId="12ACAF9E" w14:textId="0379EE3F" w:rsidR="002E55BD" w:rsidRPr="003E23FD" w:rsidRDefault="00A52894" w:rsidP="001E3354">
            <w:pPr>
              <w:spacing w:after="120" w:line="260" w:lineRule="exact"/>
              <w:rPr>
                <w:sz w:val="19"/>
                <w:szCs w:val="19"/>
              </w:rPr>
            </w:pPr>
            <w:r>
              <w:rPr>
                <w:i/>
                <w:sz w:val="19"/>
                <w:szCs w:val="19"/>
              </w:rPr>
              <w:t>Developing method for baseline data</w:t>
            </w:r>
          </w:p>
        </w:tc>
        <w:tc>
          <w:tcPr>
            <w:tcW w:w="541" w:type="pct"/>
          </w:tcPr>
          <w:p w14:paraId="05DA0CFB" w14:textId="77777777" w:rsidR="002E55BD" w:rsidRPr="003E23FD" w:rsidRDefault="002E55BD" w:rsidP="001E3354">
            <w:pPr>
              <w:spacing w:after="120" w:line="260" w:lineRule="exact"/>
              <w:rPr>
                <w:sz w:val="19"/>
                <w:szCs w:val="19"/>
              </w:rPr>
            </w:pPr>
          </w:p>
        </w:tc>
        <w:tc>
          <w:tcPr>
            <w:tcW w:w="423" w:type="pct"/>
          </w:tcPr>
          <w:p w14:paraId="19309EBA" w14:textId="77777777" w:rsidR="002E55BD" w:rsidRPr="003E23FD" w:rsidRDefault="002E55BD" w:rsidP="001E3354">
            <w:pPr>
              <w:spacing w:after="120" w:line="260" w:lineRule="exact"/>
              <w:rPr>
                <w:sz w:val="19"/>
                <w:szCs w:val="19"/>
              </w:rPr>
            </w:pPr>
          </w:p>
        </w:tc>
        <w:tc>
          <w:tcPr>
            <w:tcW w:w="2266" w:type="pct"/>
          </w:tcPr>
          <w:p w14:paraId="04ED359D" w14:textId="77777777" w:rsidR="001E3354" w:rsidRPr="001E3354" w:rsidRDefault="001E3354" w:rsidP="001E3354">
            <w:pPr>
              <w:spacing w:after="120" w:line="260" w:lineRule="exact"/>
              <w:rPr>
                <w:sz w:val="19"/>
                <w:szCs w:val="19"/>
              </w:rPr>
            </w:pPr>
            <w:r w:rsidRPr="001E3354">
              <w:rPr>
                <w:sz w:val="19"/>
                <w:szCs w:val="19"/>
              </w:rPr>
              <w:t>Promote linkages and referrals as a positive outcome for SBHCs</w:t>
            </w:r>
          </w:p>
          <w:p w14:paraId="1B2E79CA" w14:textId="77777777" w:rsidR="001E3354" w:rsidRPr="001E3354" w:rsidRDefault="001E3354" w:rsidP="001E3354">
            <w:pPr>
              <w:spacing w:after="120" w:line="260" w:lineRule="exact"/>
              <w:rPr>
                <w:sz w:val="19"/>
                <w:szCs w:val="19"/>
              </w:rPr>
            </w:pPr>
            <w:r w:rsidRPr="001E3354">
              <w:rPr>
                <w:sz w:val="19"/>
                <w:szCs w:val="19"/>
              </w:rPr>
              <w:t>Facilitate networking between SBHC staffs and mental health providers in their areas</w:t>
            </w:r>
          </w:p>
          <w:p w14:paraId="7CFB0AAC" w14:textId="3858FC56" w:rsidR="002E55BD" w:rsidRPr="00B74A9A" w:rsidRDefault="001E3354" w:rsidP="00B74A9A">
            <w:pPr>
              <w:spacing w:after="120" w:line="260" w:lineRule="exact"/>
              <w:rPr>
                <w:sz w:val="19"/>
                <w:szCs w:val="19"/>
              </w:rPr>
            </w:pPr>
            <w:r w:rsidRPr="001E3354">
              <w:rPr>
                <w:sz w:val="19"/>
                <w:szCs w:val="19"/>
              </w:rPr>
              <w:t>Provide utilization trainings for SBHC medical doctors, nurses, and social workers on</w:t>
            </w:r>
            <w:r w:rsidR="00E311B2">
              <w:rPr>
                <w:sz w:val="19"/>
                <w:szCs w:val="19"/>
              </w:rPr>
              <w:t xml:space="preserve"> </w:t>
            </w:r>
            <w:r w:rsidR="00B74A9A">
              <w:rPr>
                <w:sz w:val="19"/>
                <w:szCs w:val="19"/>
              </w:rPr>
              <w:t>validated tools (such as PHQ-9)</w:t>
            </w:r>
          </w:p>
        </w:tc>
        <w:tc>
          <w:tcPr>
            <w:tcW w:w="435" w:type="pct"/>
          </w:tcPr>
          <w:p w14:paraId="59CC2AEC" w14:textId="1E6C1F0E" w:rsidR="002E55BD" w:rsidRPr="003E23FD" w:rsidRDefault="009E6392" w:rsidP="001E3354">
            <w:pPr>
              <w:spacing w:after="120" w:line="260" w:lineRule="exact"/>
              <w:rPr>
                <w:sz w:val="19"/>
                <w:szCs w:val="19"/>
              </w:rPr>
            </w:pPr>
            <w:r>
              <w:rPr>
                <w:sz w:val="19"/>
                <w:szCs w:val="19"/>
              </w:rPr>
              <w:t>Y</w:t>
            </w:r>
          </w:p>
        </w:tc>
      </w:tr>
      <w:tr w:rsidR="002E55BD" w14:paraId="4B9453E1" w14:textId="77777777" w:rsidTr="003D32C7">
        <w:trPr>
          <w:trHeight w:val="231"/>
        </w:trPr>
        <w:tc>
          <w:tcPr>
            <w:tcW w:w="5000" w:type="pct"/>
            <w:gridSpan w:val="6"/>
          </w:tcPr>
          <w:p w14:paraId="386D1390" w14:textId="7924F8B1" w:rsidR="002E55BD" w:rsidRPr="00D353C0" w:rsidRDefault="006E47C2" w:rsidP="003D32C7">
            <w:pPr>
              <w:pStyle w:val="GoalLeads"/>
            </w:pPr>
            <w:r w:rsidRPr="006E47C2">
              <w:t>Organization/ Lead Person: Office of Healthy Schools; Danielle Lampton, Adolescent Health Program, MSDH; Center for the Advancement of Youth</w:t>
            </w:r>
          </w:p>
        </w:tc>
      </w:tr>
    </w:tbl>
    <w:p w14:paraId="1D8B4FD6" w14:textId="77777777" w:rsidR="008D68DD" w:rsidRDefault="008D68DD" w:rsidP="008D68DD">
      <w:pPr>
        <w:pStyle w:val="H3Blue"/>
        <w:rPr>
          <w:rFonts w:eastAsiaTheme="minorHAnsi" w:cstheme="minorBidi"/>
          <w:b w:val="0"/>
          <w:bCs w:val="0"/>
          <w:color w:val="auto"/>
          <w:sz w:val="20"/>
          <w:szCs w:val="24"/>
        </w:rPr>
      </w:pPr>
    </w:p>
    <w:p w14:paraId="4CAA060C" w14:textId="7DFD6B3F" w:rsidR="008D68DD" w:rsidRDefault="008D68DD" w:rsidP="008D68DD">
      <w:pPr>
        <w:pStyle w:val="H3Blue"/>
      </w:pPr>
      <w:r w:rsidRPr="008D68DD">
        <w:t>Status will be reviewed using a stoplight approach as follows:</w:t>
      </w:r>
    </w:p>
    <w:p w14:paraId="04827B85" w14:textId="77777777" w:rsidR="008D68DD" w:rsidRDefault="008D68DD" w:rsidP="008D68DD">
      <w:pPr>
        <w:pStyle w:val="H3Blue"/>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585"/>
        <w:gridCol w:w="4585"/>
        <w:gridCol w:w="4586"/>
      </w:tblGrid>
      <w:tr w:rsidR="008D68DD" w14:paraId="1CF71EC0" w14:textId="77777777" w:rsidTr="0053777F">
        <w:trPr>
          <w:trHeight w:val="294"/>
        </w:trPr>
        <w:tc>
          <w:tcPr>
            <w:tcW w:w="4585" w:type="dxa"/>
            <w:shd w:val="clear" w:color="auto" w:fill="F58668"/>
            <w:vAlign w:val="center"/>
          </w:tcPr>
          <w:p w14:paraId="3A11E0BC" w14:textId="3459EDF2" w:rsidR="008D68DD" w:rsidRPr="005F1EEA" w:rsidRDefault="008D68DD" w:rsidP="00822D3B">
            <w:pPr>
              <w:pStyle w:val="H3Blue"/>
              <w:rPr>
                <w:color w:val="000000" w:themeColor="text1"/>
                <w:sz w:val="20"/>
                <w:szCs w:val="20"/>
              </w:rPr>
            </w:pPr>
            <w:r w:rsidRPr="005F1EEA">
              <w:rPr>
                <w:color w:val="000000" w:themeColor="text1"/>
                <w:sz w:val="20"/>
                <w:szCs w:val="20"/>
              </w:rPr>
              <w:t>Red: Not On Target</w:t>
            </w:r>
          </w:p>
        </w:tc>
        <w:tc>
          <w:tcPr>
            <w:tcW w:w="4585" w:type="dxa"/>
            <w:shd w:val="clear" w:color="auto" w:fill="F9F289"/>
            <w:vAlign w:val="center"/>
          </w:tcPr>
          <w:p w14:paraId="5AE74C82" w14:textId="23A02EF2" w:rsidR="008D68DD" w:rsidRPr="005F1EEA" w:rsidRDefault="008D68DD" w:rsidP="00822D3B">
            <w:pPr>
              <w:pStyle w:val="H3Blue"/>
              <w:rPr>
                <w:color w:val="000000" w:themeColor="text1"/>
                <w:sz w:val="20"/>
                <w:szCs w:val="20"/>
              </w:rPr>
            </w:pPr>
            <w:r w:rsidRPr="005F1EEA">
              <w:rPr>
                <w:color w:val="000000" w:themeColor="text1"/>
                <w:sz w:val="20"/>
                <w:szCs w:val="20"/>
              </w:rPr>
              <w:t>Yellow: Falling Behind</w:t>
            </w:r>
          </w:p>
        </w:tc>
        <w:tc>
          <w:tcPr>
            <w:tcW w:w="4586" w:type="dxa"/>
            <w:shd w:val="clear" w:color="auto" w:fill="89CA8E"/>
            <w:vAlign w:val="center"/>
          </w:tcPr>
          <w:p w14:paraId="766F0A9D" w14:textId="61BE2D03" w:rsidR="008D68DD" w:rsidRPr="005F1EEA" w:rsidRDefault="008D68DD" w:rsidP="00822D3B">
            <w:pPr>
              <w:pStyle w:val="H3Blue"/>
              <w:rPr>
                <w:color w:val="000000" w:themeColor="text1"/>
                <w:sz w:val="20"/>
                <w:szCs w:val="20"/>
              </w:rPr>
            </w:pPr>
            <w:r w:rsidRPr="005F1EEA">
              <w:rPr>
                <w:color w:val="000000" w:themeColor="text1"/>
                <w:sz w:val="20"/>
                <w:szCs w:val="20"/>
              </w:rPr>
              <w:t>Green: On Target</w:t>
            </w:r>
          </w:p>
        </w:tc>
      </w:tr>
    </w:tbl>
    <w:p w14:paraId="1CC94854" w14:textId="77777777" w:rsidR="008D68DD" w:rsidRDefault="008D68DD" w:rsidP="008D68DD">
      <w:pPr>
        <w:pStyle w:val="H3Blue"/>
      </w:pPr>
    </w:p>
    <w:p w14:paraId="18EB0889" w14:textId="5F39485B" w:rsidR="006E47C2" w:rsidRPr="005F1EEA" w:rsidRDefault="006E47C2" w:rsidP="005F1EEA">
      <w:pPr>
        <w:spacing w:after="120"/>
        <w:rPr>
          <w:sz w:val="19"/>
          <w:szCs w:val="19"/>
        </w:rPr>
      </w:pPr>
      <w:r w:rsidRPr="005F1EEA">
        <w:rPr>
          <w:b/>
          <w:sz w:val="19"/>
          <w:szCs w:val="19"/>
        </w:rPr>
        <w:t>COORDINATING CO-CHAIRS:</w:t>
      </w:r>
      <w:r w:rsidRPr="005F1EEA">
        <w:rPr>
          <w:sz w:val="19"/>
          <w:szCs w:val="19"/>
        </w:rPr>
        <w:t xml:space="preserve"> </w:t>
      </w:r>
      <w:r w:rsidR="009E6392" w:rsidRPr="009E6392">
        <w:rPr>
          <w:sz w:val="19"/>
          <w:szCs w:val="19"/>
        </w:rPr>
        <w:t>Danielle Lampt</w:t>
      </w:r>
      <w:r w:rsidR="009E6392">
        <w:rPr>
          <w:sz w:val="19"/>
          <w:szCs w:val="19"/>
        </w:rPr>
        <w:t>on, MSDH; Kenyatta Parker, MSDH</w:t>
      </w:r>
    </w:p>
    <w:p w14:paraId="1A65A639" w14:textId="5E3087FC" w:rsidR="006E47C2" w:rsidRPr="005F1EEA" w:rsidRDefault="006E47C2" w:rsidP="005F1EEA">
      <w:pPr>
        <w:spacing w:after="120"/>
        <w:rPr>
          <w:sz w:val="19"/>
          <w:szCs w:val="19"/>
        </w:rPr>
      </w:pPr>
      <w:r w:rsidRPr="005F1EEA">
        <w:rPr>
          <w:b/>
          <w:sz w:val="19"/>
          <w:szCs w:val="19"/>
        </w:rPr>
        <w:t>PARTNERS AND STAKEHOLDERS:</w:t>
      </w:r>
      <w:r w:rsidRPr="005F1EEA">
        <w:rPr>
          <w:sz w:val="19"/>
          <w:szCs w:val="19"/>
        </w:rPr>
        <w:t xml:space="preserve"> Rozelia Harris, MSDH; </w:t>
      </w:r>
      <w:proofErr w:type="spellStart"/>
      <w:r w:rsidRPr="005F1EEA">
        <w:rPr>
          <w:sz w:val="19"/>
          <w:szCs w:val="19"/>
        </w:rPr>
        <w:t>Tarcha</w:t>
      </w:r>
      <w:proofErr w:type="spellEnd"/>
      <w:r w:rsidRPr="005F1EEA">
        <w:rPr>
          <w:sz w:val="19"/>
          <w:szCs w:val="19"/>
        </w:rPr>
        <w:t xml:space="preserve"> Howard, MSDH; Diane Hargrove, MSDH; Janette McCrory, IHL; Shawn Rossi, MS Hospital Association; Lon</w:t>
      </w:r>
      <w:r w:rsidR="009E6392">
        <w:rPr>
          <w:sz w:val="19"/>
          <w:szCs w:val="19"/>
        </w:rPr>
        <w:t>nie Edgar, PEER; Josh McCawley, Teen Health Mississippi</w:t>
      </w:r>
      <w:r w:rsidRPr="005F1EEA">
        <w:rPr>
          <w:sz w:val="19"/>
          <w:szCs w:val="19"/>
        </w:rPr>
        <w:t xml:space="preserve">; Michael Jordan, DMH; </w:t>
      </w:r>
    </w:p>
    <w:sectPr w:rsidR="006E47C2" w:rsidRPr="005F1EEA" w:rsidSect="00634874">
      <w:footerReference w:type="default" r:id="rId8"/>
      <w:pgSz w:w="15840" w:h="12240" w:orient="landscape"/>
      <w:pgMar w:top="720" w:right="720" w:bottom="13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D65F" w14:textId="77777777" w:rsidR="00315BD7" w:rsidRDefault="00315BD7" w:rsidP="00A35886">
      <w:pPr>
        <w:spacing w:after="0" w:line="240" w:lineRule="auto"/>
      </w:pPr>
      <w:r>
        <w:separator/>
      </w:r>
    </w:p>
  </w:endnote>
  <w:endnote w:type="continuationSeparator" w:id="0">
    <w:p w14:paraId="2070B8E9" w14:textId="77777777" w:rsidR="00315BD7" w:rsidRDefault="00315BD7" w:rsidP="00A3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cho">
    <w:altName w:val="Courier New"/>
    <w:charset w:val="00"/>
    <w:family w:val="auto"/>
    <w:pitch w:val="variable"/>
    <w:sig w:usb0="00000001" w:usb1="00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936C5" w14:textId="2F89E9DB" w:rsidR="00A35886" w:rsidRDefault="00A35886" w:rsidP="00A35886">
    <w:pPr>
      <w:pStyle w:val="FooterSlogan"/>
    </w:pPr>
    <w:r>
      <w:rPr>
        <w:noProof/>
      </w:rPr>
      <w:drawing>
        <wp:inline distT="0" distB="0" distL="0" distR="0" wp14:anchorId="56ED0F2E" wp14:editId="0C7393D7">
          <wp:extent cx="733425" cy="349523"/>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root_logo.jpg"/>
                  <pic:cNvPicPr/>
                </pic:nvPicPr>
                <pic:blipFill>
                  <a:blip r:embed="rId1">
                    <a:extLst>
                      <a:ext uri="{28A0092B-C50C-407E-A947-70E740481C1C}">
                        <a14:useLocalDpi xmlns:a14="http://schemas.microsoft.com/office/drawing/2010/main" val="0"/>
                      </a:ext>
                    </a:extLst>
                  </a:blip>
                  <a:stretch>
                    <a:fillRect/>
                  </a:stretch>
                </pic:blipFill>
                <pic:spPr>
                  <a:xfrm>
                    <a:off x="0" y="0"/>
                    <a:ext cx="774243" cy="368975"/>
                  </a:xfrm>
                  <a:prstGeom prst="rect">
                    <a:avLst/>
                  </a:prstGeom>
                </pic:spPr>
              </pic:pic>
            </a:graphicData>
          </a:graphic>
        </wp:inline>
      </w:drawing>
    </w:r>
    <w:r w:rsidR="00685E55">
      <w:t xml:space="preserve">     </w:t>
    </w:r>
    <w:r w:rsidRPr="00A35886">
      <w:t>Building a healthier Mississippi from the ground UP.</w:t>
    </w:r>
    <w:r>
      <w:t xml:space="preserve">                         </w:t>
    </w:r>
    <w:r w:rsidR="00685E55">
      <w:t xml:space="preserve">                                                  </w:t>
    </w:r>
    <w:r w:rsidRPr="00A35886">
      <w:rPr>
        <w:color w:val="F47757"/>
      </w:rPr>
      <w:t>uprootms.org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C2881" w14:textId="77777777" w:rsidR="00315BD7" w:rsidRDefault="00315BD7" w:rsidP="00A35886">
      <w:pPr>
        <w:spacing w:after="0" w:line="240" w:lineRule="auto"/>
      </w:pPr>
      <w:r>
        <w:separator/>
      </w:r>
    </w:p>
  </w:footnote>
  <w:footnote w:type="continuationSeparator" w:id="0">
    <w:p w14:paraId="5F87CBFB" w14:textId="77777777" w:rsidR="00315BD7" w:rsidRDefault="00315BD7" w:rsidP="00A35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4976"/>
    <w:multiLevelType w:val="hybridMultilevel"/>
    <w:tmpl w:val="14EE4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9300B"/>
    <w:multiLevelType w:val="hybridMultilevel"/>
    <w:tmpl w:val="0436E8C0"/>
    <w:lvl w:ilvl="0" w:tplc="B8BCB9CE">
      <w:start w:val="1"/>
      <w:numFmt w:val="lowerLetter"/>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DA"/>
    <w:rsid w:val="00030680"/>
    <w:rsid w:val="00042B28"/>
    <w:rsid w:val="000610D6"/>
    <w:rsid w:val="000A04AF"/>
    <w:rsid w:val="000A367B"/>
    <w:rsid w:val="000D1DDD"/>
    <w:rsid w:val="0011592D"/>
    <w:rsid w:val="00121EB2"/>
    <w:rsid w:val="001414CC"/>
    <w:rsid w:val="001E3354"/>
    <w:rsid w:val="0029720F"/>
    <w:rsid w:val="002E55BD"/>
    <w:rsid w:val="00315ACE"/>
    <w:rsid w:val="00315BD7"/>
    <w:rsid w:val="003272AA"/>
    <w:rsid w:val="00354D4D"/>
    <w:rsid w:val="00370C8D"/>
    <w:rsid w:val="003C4C77"/>
    <w:rsid w:val="003E23FD"/>
    <w:rsid w:val="003F575B"/>
    <w:rsid w:val="00440CD3"/>
    <w:rsid w:val="00446703"/>
    <w:rsid w:val="004A3EDA"/>
    <w:rsid w:val="004C21D2"/>
    <w:rsid w:val="004D05D9"/>
    <w:rsid w:val="0053777F"/>
    <w:rsid w:val="0057138F"/>
    <w:rsid w:val="005A7CE2"/>
    <w:rsid w:val="005B4500"/>
    <w:rsid w:val="005D785C"/>
    <w:rsid w:val="005F1EEA"/>
    <w:rsid w:val="0063064F"/>
    <w:rsid w:val="00634874"/>
    <w:rsid w:val="006548C1"/>
    <w:rsid w:val="00667622"/>
    <w:rsid w:val="006727B3"/>
    <w:rsid w:val="00685E55"/>
    <w:rsid w:val="006B0156"/>
    <w:rsid w:val="006C1828"/>
    <w:rsid w:val="006C3690"/>
    <w:rsid w:val="006C7BFF"/>
    <w:rsid w:val="006D6874"/>
    <w:rsid w:val="006E47C2"/>
    <w:rsid w:val="006E5D5E"/>
    <w:rsid w:val="00753B55"/>
    <w:rsid w:val="00776CB2"/>
    <w:rsid w:val="00781909"/>
    <w:rsid w:val="007C2F8F"/>
    <w:rsid w:val="00816958"/>
    <w:rsid w:val="00822D3B"/>
    <w:rsid w:val="0085513D"/>
    <w:rsid w:val="008754E4"/>
    <w:rsid w:val="008A155C"/>
    <w:rsid w:val="008C3C4D"/>
    <w:rsid w:val="008D5C30"/>
    <w:rsid w:val="008D68DD"/>
    <w:rsid w:val="00900AF3"/>
    <w:rsid w:val="00916488"/>
    <w:rsid w:val="009E6392"/>
    <w:rsid w:val="00A35886"/>
    <w:rsid w:val="00A52894"/>
    <w:rsid w:val="00A56A85"/>
    <w:rsid w:val="00AA3F3A"/>
    <w:rsid w:val="00B43353"/>
    <w:rsid w:val="00B74A9A"/>
    <w:rsid w:val="00B85AFE"/>
    <w:rsid w:val="00B86533"/>
    <w:rsid w:val="00BB251C"/>
    <w:rsid w:val="00BC2366"/>
    <w:rsid w:val="00BE6AEF"/>
    <w:rsid w:val="00C03C0F"/>
    <w:rsid w:val="00CB36FE"/>
    <w:rsid w:val="00CC08D6"/>
    <w:rsid w:val="00CC503D"/>
    <w:rsid w:val="00CE4942"/>
    <w:rsid w:val="00D33B62"/>
    <w:rsid w:val="00D353C0"/>
    <w:rsid w:val="00D60B29"/>
    <w:rsid w:val="00DC1E07"/>
    <w:rsid w:val="00DC2C5D"/>
    <w:rsid w:val="00DD432B"/>
    <w:rsid w:val="00DE6A10"/>
    <w:rsid w:val="00E021FC"/>
    <w:rsid w:val="00E311B2"/>
    <w:rsid w:val="00E77D96"/>
    <w:rsid w:val="00F640B1"/>
    <w:rsid w:val="00F8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54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D68DD"/>
    <w:pPr>
      <w:suppressAutoHyphens/>
      <w:spacing w:after="180" w:line="300" w:lineRule="exact"/>
    </w:pPr>
    <w:rPr>
      <w:rFonts w:ascii="Verdana" w:hAnsi="Verdana"/>
      <w:sz w:val="20"/>
    </w:rPr>
  </w:style>
  <w:style w:type="paragraph" w:styleId="Heading2">
    <w:name w:val="heading 2"/>
    <w:aliases w:val="H"/>
    <w:next w:val="Normal"/>
    <w:link w:val="Heading2Char"/>
    <w:uiPriority w:val="9"/>
    <w:unhideWhenUsed/>
    <w:qFormat/>
    <w:rsid w:val="006E5D5E"/>
    <w:pPr>
      <w:keepNext/>
      <w:keepLines/>
      <w:spacing w:before="40"/>
      <w:outlineLvl w:val="1"/>
    </w:pPr>
    <w:rPr>
      <w:rFonts w:ascii="Verdana" w:eastAsiaTheme="majorEastAsia" w:hAnsi="Verdana" w:cstheme="majorBidi"/>
      <w:b/>
      <w:bCs/>
      <w:color w:val="F47757"/>
      <w:sz w:val="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Green">
    <w:name w:val="H3 Green"/>
    <w:qFormat/>
    <w:rsid w:val="00D33B62"/>
    <w:pPr>
      <w:spacing w:after="90"/>
    </w:pPr>
    <w:rPr>
      <w:rFonts w:ascii="Verdana" w:hAnsi="Verdana"/>
      <w:b/>
      <w:bCs/>
      <w:color w:val="70AD47" w:themeColor="accent6"/>
      <w:sz w:val="29"/>
    </w:rPr>
  </w:style>
  <w:style w:type="character" w:customStyle="1" w:styleId="Heading2Char">
    <w:name w:val="Heading 2 Char"/>
    <w:aliases w:val="H Char"/>
    <w:basedOn w:val="DefaultParagraphFont"/>
    <w:link w:val="Heading2"/>
    <w:uiPriority w:val="9"/>
    <w:rsid w:val="006E5D5E"/>
    <w:rPr>
      <w:rFonts w:ascii="Verdana" w:eastAsiaTheme="majorEastAsia" w:hAnsi="Verdana" w:cstheme="majorBidi"/>
      <w:b/>
      <w:bCs/>
      <w:color w:val="F47757"/>
      <w:sz w:val="33"/>
      <w:szCs w:val="26"/>
    </w:rPr>
  </w:style>
  <w:style w:type="paragraph" w:customStyle="1" w:styleId="H2Orange">
    <w:name w:val="H2 Orange"/>
    <w:basedOn w:val="Heading2"/>
    <w:qFormat/>
    <w:rsid w:val="00D33B62"/>
    <w:pPr>
      <w:spacing w:before="0" w:after="90"/>
    </w:pPr>
  </w:style>
  <w:style w:type="paragraph" w:customStyle="1" w:styleId="H3Blue">
    <w:name w:val="H3 Blue"/>
    <w:basedOn w:val="Heading2"/>
    <w:qFormat/>
    <w:rsid w:val="006E5D5E"/>
    <w:pPr>
      <w:spacing w:before="3" w:after="1"/>
    </w:pPr>
    <w:rPr>
      <w:color w:val="00A89D"/>
      <w:sz w:val="23"/>
    </w:rPr>
  </w:style>
  <w:style w:type="paragraph" w:customStyle="1" w:styleId="BodySource">
    <w:name w:val="Body Source"/>
    <w:basedOn w:val="Normal"/>
    <w:qFormat/>
    <w:rsid w:val="00F640B1"/>
    <w:rPr>
      <w:i/>
      <w:sz w:val="19"/>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rPr>
      <w:rFonts w:ascii="Verdana" w:hAnsi="Verdana"/>
      <w:sz w:val="21"/>
    </w:rPr>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rPr>
      <w:rFonts w:ascii="Verdana" w:hAnsi="Verdana"/>
      <w:sz w:val="21"/>
    </w:rPr>
  </w:style>
  <w:style w:type="paragraph" w:customStyle="1" w:styleId="FooterSlogan">
    <w:name w:val="Footer Slogan"/>
    <w:basedOn w:val="Normal"/>
    <w:rsid w:val="00A35886"/>
    <w:pPr>
      <w:suppressAutoHyphens w:val="0"/>
      <w:spacing w:before="203" w:after="90" w:line="225" w:lineRule="atLeast"/>
    </w:pPr>
    <w:rPr>
      <w:rFonts w:cs="Times New Roman"/>
      <w:b/>
      <w:bCs/>
      <w:color w:val="91CCC9"/>
      <w:sz w:val="19"/>
      <w:szCs w:val="15"/>
    </w:rPr>
  </w:style>
  <w:style w:type="character" w:customStyle="1" w:styleId="s1">
    <w:name w:val="s1"/>
    <w:basedOn w:val="DefaultParagraphFont"/>
    <w:rsid w:val="00A35886"/>
    <w:rPr>
      <w:rFonts w:ascii="Macho" w:hAnsi="Macho" w:hint="default"/>
      <w:sz w:val="15"/>
      <w:szCs w:val="15"/>
    </w:rPr>
  </w:style>
  <w:style w:type="table" w:styleId="TableGrid">
    <w:name w:val="Table Grid"/>
    <w:basedOn w:val="TableNormal"/>
    <w:uiPriority w:val="39"/>
    <w:rsid w:val="0075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53B55"/>
    <w:pPr>
      <w:suppressAutoHyphens w:val="0"/>
      <w:spacing w:after="135" w:line="225" w:lineRule="atLeast"/>
    </w:pPr>
    <w:rPr>
      <w:rFonts w:ascii="Macho" w:hAnsi="Macho" w:cs="Times New Roman"/>
      <w:sz w:val="17"/>
      <w:szCs w:val="17"/>
    </w:rPr>
  </w:style>
  <w:style w:type="paragraph" w:customStyle="1" w:styleId="p2">
    <w:name w:val="p2"/>
    <w:basedOn w:val="Normal"/>
    <w:rsid w:val="00753B55"/>
    <w:pPr>
      <w:suppressAutoHyphens w:val="0"/>
      <w:spacing w:after="203" w:line="225" w:lineRule="atLeast"/>
    </w:pPr>
    <w:rPr>
      <w:rFonts w:ascii="Macho" w:hAnsi="Macho" w:cs="Times New Roman"/>
      <w:sz w:val="15"/>
      <w:szCs w:val="15"/>
    </w:rPr>
  </w:style>
  <w:style w:type="paragraph" w:styleId="ListParagraph">
    <w:name w:val="List Paragraph"/>
    <w:basedOn w:val="Normal"/>
    <w:uiPriority w:val="34"/>
    <w:qFormat/>
    <w:rsid w:val="008754E4"/>
    <w:pPr>
      <w:ind w:left="720"/>
      <w:contextualSpacing/>
    </w:pPr>
  </w:style>
  <w:style w:type="paragraph" w:customStyle="1" w:styleId="Style1">
    <w:name w:val="Style1"/>
    <w:basedOn w:val="ListParagraph"/>
    <w:autoRedefine/>
    <w:qFormat/>
    <w:rsid w:val="008754E4"/>
    <w:pPr>
      <w:numPr>
        <w:numId w:val="2"/>
      </w:numPr>
      <w:tabs>
        <w:tab w:val="left" w:pos="3020"/>
      </w:tabs>
      <w:ind w:left="360"/>
      <w:contextualSpacing w:val="0"/>
    </w:pPr>
    <w:rPr>
      <w:szCs w:val="20"/>
    </w:rPr>
  </w:style>
  <w:style w:type="character" w:customStyle="1" w:styleId="apple-converted-space">
    <w:name w:val="apple-converted-space"/>
    <w:basedOn w:val="DefaultParagraphFont"/>
    <w:rsid w:val="008D5C30"/>
  </w:style>
  <w:style w:type="paragraph" w:customStyle="1" w:styleId="GoalLeads">
    <w:name w:val="Goal Leads"/>
    <w:basedOn w:val="Normal"/>
    <w:qFormat/>
    <w:rsid w:val="00D353C0"/>
    <w:pPr>
      <w:suppressAutoHyphens w:val="0"/>
      <w:spacing w:after="0" w:line="210" w:lineRule="atLeast"/>
    </w:pPr>
    <w:rPr>
      <w:rFonts w:cs="Times New Roman"/>
      <w:color w:val="00B4AC"/>
      <w:sz w:val="18"/>
      <w:szCs w:val="18"/>
    </w:rPr>
  </w:style>
  <w:style w:type="paragraph" w:styleId="BalloonText">
    <w:name w:val="Balloon Text"/>
    <w:basedOn w:val="Normal"/>
    <w:link w:val="BalloonTextChar"/>
    <w:uiPriority w:val="99"/>
    <w:semiHidden/>
    <w:unhideWhenUsed/>
    <w:rsid w:val="004C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1D2"/>
    <w:rPr>
      <w:rFonts w:ascii="Tahoma" w:hAnsi="Tahoma" w:cs="Tahoma"/>
      <w:sz w:val="16"/>
      <w:szCs w:val="16"/>
    </w:rPr>
  </w:style>
  <w:style w:type="character" w:styleId="CommentReference">
    <w:name w:val="annotation reference"/>
    <w:basedOn w:val="DefaultParagraphFont"/>
    <w:uiPriority w:val="99"/>
    <w:semiHidden/>
    <w:unhideWhenUsed/>
    <w:rsid w:val="00B74A9A"/>
    <w:rPr>
      <w:sz w:val="16"/>
      <w:szCs w:val="16"/>
    </w:rPr>
  </w:style>
  <w:style w:type="paragraph" w:styleId="CommentText">
    <w:name w:val="annotation text"/>
    <w:basedOn w:val="Normal"/>
    <w:link w:val="CommentTextChar"/>
    <w:uiPriority w:val="99"/>
    <w:semiHidden/>
    <w:unhideWhenUsed/>
    <w:rsid w:val="00B74A9A"/>
    <w:pPr>
      <w:spacing w:line="240" w:lineRule="auto"/>
    </w:pPr>
    <w:rPr>
      <w:szCs w:val="20"/>
    </w:rPr>
  </w:style>
  <w:style w:type="character" w:customStyle="1" w:styleId="CommentTextChar">
    <w:name w:val="Comment Text Char"/>
    <w:basedOn w:val="DefaultParagraphFont"/>
    <w:link w:val="CommentText"/>
    <w:uiPriority w:val="99"/>
    <w:semiHidden/>
    <w:rsid w:val="00B74A9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74A9A"/>
    <w:rPr>
      <w:b/>
      <w:bCs/>
    </w:rPr>
  </w:style>
  <w:style w:type="character" w:customStyle="1" w:styleId="CommentSubjectChar">
    <w:name w:val="Comment Subject Char"/>
    <w:basedOn w:val="CommentTextChar"/>
    <w:link w:val="CommentSubject"/>
    <w:uiPriority w:val="99"/>
    <w:semiHidden/>
    <w:rsid w:val="00B74A9A"/>
    <w:rPr>
      <w:rFonts w:ascii="Verdana" w:hAnsi="Verdan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D68DD"/>
    <w:pPr>
      <w:suppressAutoHyphens/>
      <w:spacing w:after="180" w:line="300" w:lineRule="exact"/>
    </w:pPr>
    <w:rPr>
      <w:rFonts w:ascii="Verdana" w:hAnsi="Verdana"/>
      <w:sz w:val="20"/>
    </w:rPr>
  </w:style>
  <w:style w:type="paragraph" w:styleId="Heading2">
    <w:name w:val="heading 2"/>
    <w:aliases w:val="H"/>
    <w:next w:val="Normal"/>
    <w:link w:val="Heading2Char"/>
    <w:uiPriority w:val="9"/>
    <w:unhideWhenUsed/>
    <w:qFormat/>
    <w:rsid w:val="006E5D5E"/>
    <w:pPr>
      <w:keepNext/>
      <w:keepLines/>
      <w:spacing w:before="40"/>
      <w:outlineLvl w:val="1"/>
    </w:pPr>
    <w:rPr>
      <w:rFonts w:ascii="Verdana" w:eastAsiaTheme="majorEastAsia" w:hAnsi="Verdana" w:cstheme="majorBidi"/>
      <w:b/>
      <w:bCs/>
      <w:color w:val="F47757"/>
      <w:sz w:val="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Green">
    <w:name w:val="H3 Green"/>
    <w:qFormat/>
    <w:rsid w:val="00D33B62"/>
    <w:pPr>
      <w:spacing w:after="90"/>
    </w:pPr>
    <w:rPr>
      <w:rFonts w:ascii="Verdana" w:hAnsi="Verdana"/>
      <w:b/>
      <w:bCs/>
      <w:color w:val="70AD47" w:themeColor="accent6"/>
      <w:sz w:val="29"/>
    </w:rPr>
  </w:style>
  <w:style w:type="character" w:customStyle="1" w:styleId="Heading2Char">
    <w:name w:val="Heading 2 Char"/>
    <w:aliases w:val="H Char"/>
    <w:basedOn w:val="DefaultParagraphFont"/>
    <w:link w:val="Heading2"/>
    <w:uiPriority w:val="9"/>
    <w:rsid w:val="006E5D5E"/>
    <w:rPr>
      <w:rFonts w:ascii="Verdana" w:eastAsiaTheme="majorEastAsia" w:hAnsi="Verdana" w:cstheme="majorBidi"/>
      <w:b/>
      <w:bCs/>
      <w:color w:val="F47757"/>
      <w:sz w:val="33"/>
      <w:szCs w:val="26"/>
    </w:rPr>
  </w:style>
  <w:style w:type="paragraph" w:customStyle="1" w:styleId="H2Orange">
    <w:name w:val="H2 Orange"/>
    <w:basedOn w:val="Heading2"/>
    <w:qFormat/>
    <w:rsid w:val="00D33B62"/>
    <w:pPr>
      <w:spacing w:before="0" w:after="90"/>
    </w:pPr>
  </w:style>
  <w:style w:type="paragraph" w:customStyle="1" w:styleId="H3Blue">
    <w:name w:val="H3 Blue"/>
    <w:basedOn w:val="Heading2"/>
    <w:qFormat/>
    <w:rsid w:val="006E5D5E"/>
    <w:pPr>
      <w:spacing w:before="3" w:after="1"/>
    </w:pPr>
    <w:rPr>
      <w:color w:val="00A89D"/>
      <w:sz w:val="23"/>
    </w:rPr>
  </w:style>
  <w:style w:type="paragraph" w:customStyle="1" w:styleId="BodySource">
    <w:name w:val="Body Source"/>
    <w:basedOn w:val="Normal"/>
    <w:qFormat/>
    <w:rsid w:val="00F640B1"/>
    <w:rPr>
      <w:i/>
      <w:sz w:val="19"/>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rPr>
      <w:rFonts w:ascii="Verdana" w:hAnsi="Verdana"/>
      <w:sz w:val="21"/>
    </w:rPr>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rPr>
      <w:rFonts w:ascii="Verdana" w:hAnsi="Verdana"/>
      <w:sz w:val="21"/>
    </w:rPr>
  </w:style>
  <w:style w:type="paragraph" w:customStyle="1" w:styleId="FooterSlogan">
    <w:name w:val="Footer Slogan"/>
    <w:basedOn w:val="Normal"/>
    <w:rsid w:val="00A35886"/>
    <w:pPr>
      <w:suppressAutoHyphens w:val="0"/>
      <w:spacing w:before="203" w:after="90" w:line="225" w:lineRule="atLeast"/>
    </w:pPr>
    <w:rPr>
      <w:rFonts w:cs="Times New Roman"/>
      <w:b/>
      <w:bCs/>
      <w:color w:val="91CCC9"/>
      <w:sz w:val="19"/>
      <w:szCs w:val="15"/>
    </w:rPr>
  </w:style>
  <w:style w:type="character" w:customStyle="1" w:styleId="s1">
    <w:name w:val="s1"/>
    <w:basedOn w:val="DefaultParagraphFont"/>
    <w:rsid w:val="00A35886"/>
    <w:rPr>
      <w:rFonts w:ascii="Macho" w:hAnsi="Macho" w:hint="default"/>
      <w:sz w:val="15"/>
      <w:szCs w:val="15"/>
    </w:rPr>
  </w:style>
  <w:style w:type="table" w:styleId="TableGrid">
    <w:name w:val="Table Grid"/>
    <w:basedOn w:val="TableNormal"/>
    <w:uiPriority w:val="39"/>
    <w:rsid w:val="0075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53B55"/>
    <w:pPr>
      <w:suppressAutoHyphens w:val="0"/>
      <w:spacing w:after="135" w:line="225" w:lineRule="atLeast"/>
    </w:pPr>
    <w:rPr>
      <w:rFonts w:ascii="Macho" w:hAnsi="Macho" w:cs="Times New Roman"/>
      <w:sz w:val="17"/>
      <w:szCs w:val="17"/>
    </w:rPr>
  </w:style>
  <w:style w:type="paragraph" w:customStyle="1" w:styleId="p2">
    <w:name w:val="p2"/>
    <w:basedOn w:val="Normal"/>
    <w:rsid w:val="00753B55"/>
    <w:pPr>
      <w:suppressAutoHyphens w:val="0"/>
      <w:spacing w:after="203" w:line="225" w:lineRule="atLeast"/>
    </w:pPr>
    <w:rPr>
      <w:rFonts w:ascii="Macho" w:hAnsi="Macho" w:cs="Times New Roman"/>
      <w:sz w:val="15"/>
      <w:szCs w:val="15"/>
    </w:rPr>
  </w:style>
  <w:style w:type="paragraph" w:styleId="ListParagraph">
    <w:name w:val="List Paragraph"/>
    <w:basedOn w:val="Normal"/>
    <w:uiPriority w:val="34"/>
    <w:qFormat/>
    <w:rsid w:val="008754E4"/>
    <w:pPr>
      <w:ind w:left="720"/>
      <w:contextualSpacing/>
    </w:pPr>
  </w:style>
  <w:style w:type="paragraph" w:customStyle="1" w:styleId="Style1">
    <w:name w:val="Style1"/>
    <w:basedOn w:val="ListParagraph"/>
    <w:autoRedefine/>
    <w:qFormat/>
    <w:rsid w:val="008754E4"/>
    <w:pPr>
      <w:numPr>
        <w:numId w:val="2"/>
      </w:numPr>
      <w:tabs>
        <w:tab w:val="left" w:pos="3020"/>
      </w:tabs>
      <w:ind w:left="360"/>
      <w:contextualSpacing w:val="0"/>
    </w:pPr>
    <w:rPr>
      <w:szCs w:val="20"/>
    </w:rPr>
  </w:style>
  <w:style w:type="character" w:customStyle="1" w:styleId="apple-converted-space">
    <w:name w:val="apple-converted-space"/>
    <w:basedOn w:val="DefaultParagraphFont"/>
    <w:rsid w:val="008D5C30"/>
  </w:style>
  <w:style w:type="paragraph" w:customStyle="1" w:styleId="GoalLeads">
    <w:name w:val="Goal Leads"/>
    <w:basedOn w:val="Normal"/>
    <w:qFormat/>
    <w:rsid w:val="00D353C0"/>
    <w:pPr>
      <w:suppressAutoHyphens w:val="0"/>
      <w:spacing w:after="0" w:line="210" w:lineRule="atLeast"/>
    </w:pPr>
    <w:rPr>
      <w:rFonts w:cs="Times New Roman"/>
      <w:color w:val="00B4AC"/>
      <w:sz w:val="18"/>
      <w:szCs w:val="18"/>
    </w:rPr>
  </w:style>
  <w:style w:type="paragraph" w:styleId="BalloonText">
    <w:name w:val="Balloon Text"/>
    <w:basedOn w:val="Normal"/>
    <w:link w:val="BalloonTextChar"/>
    <w:uiPriority w:val="99"/>
    <w:semiHidden/>
    <w:unhideWhenUsed/>
    <w:rsid w:val="004C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1D2"/>
    <w:rPr>
      <w:rFonts w:ascii="Tahoma" w:hAnsi="Tahoma" w:cs="Tahoma"/>
      <w:sz w:val="16"/>
      <w:szCs w:val="16"/>
    </w:rPr>
  </w:style>
  <w:style w:type="character" w:styleId="CommentReference">
    <w:name w:val="annotation reference"/>
    <w:basedOn w:val="DefaultParagraphFont"/>
    <w:uiPriority w:val="99"/>
    <w:semiHidden/>
    <w:unhideWhenUsed/>
    <w:rsid w:val="00B74A9A"/>
    <w:rPr>
      <w:sz w:val="16"/>
      <w:szCs w:val="16"/>
    </w:rPr>
  </w:style>
  <w:style w:type="paragraph" w:styleId="CommentText">
    <w:name w:val="annotation text"/>
    <w:basedOn w:val="Normal"/>
    <w:link w:val="CommentTextChar"/>
    <w:uiPriority w:val="99"/>
    <w:semiHidden/>
    <w:unhideWhenUsed/>
    <w:rsid w:val="00B74A9A"/>
    <w:pPr>
      <w:spacing w:line="240" w:lineRule="auto"/>
    </w:pPr>
    <w:rPr>
      <w:szCs w:val="20"/>
    </w:rPr>
  </w:style>
  <w:style w:type="character" w:customStyle="1" w:styleId="CommentTextChar">
    <w:name w:val="Comment Text Char"/>
    <w:basedOn w:val="DefaultParagraphFont"/>
    <w:link w:val="CommentText"/>
    <w:uiPriority w:val="99"/>
    <w:semiHidden/>
    <w:rsid w:val="00B74A9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74A9A"/>
    <w:rPr>
      <w:b/>
      <w:bCs/>
    </w:rPr>
  </w:style>
  <w:style w:type="character" w:customStyle="1" w:styleId="CommentSubjectChar">
    <w:name w:val="Comment Subject Char"/>
    <w:basedOn w:val="CommentTextChar"/>
    <w:link w:val="CommentSubject"/>
    <w:uiPriority w:val="99"/>
    <w:semiHidden/>
    <w:rsid w:val="00B74A9A"/>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52">
      <w:bodyDiv w:val="1"/>
      <w:marLeft w:val="0"/>
      <w:marRight w:val="0"/>
      <w:marTop w:val="0"/>
      <w:marBottom w:val="0"/>
      <w:divBdr>
        <w:top w:val="none" w:sz="0" w:space="0" w:color="auto"/>
        <w:left w:val="none" w:sz="0" w:space="0" w:color="auto"/>
        <w:bottom w:val="none" w:sz="0" w:space="0" w:color="auto"/>
        <w:right w:val="none" w:sz="0" w:space="0" w:color="auto"/>
      </w:divBdr>
    </w:div>
    <w:div w:id="62528207">
      <w:bodyDiv w:val="1"/>
      <w:marLeft w:val="0"/>
      <w:marRight w:val="0"/>
      <w:marTop w:val="0"/>
      <w:marBottom w:val="0"/>
      <w:divBdr>
        <w:top w:val="none" w:sz="0" w:space="0" w:color="auto"/>
        <w:left w:val="none" w:sz="0" w:space="0" w:color="auto"/>
        <w:bottom w:val="none" w:sz="0" w:space="0" w:color="auto"/>
        <w:right w:val="none" w:sz="0" w:space="0" w:color="auto"/>
      </w:divBdr>
    </w:div>
    <w:div w:id="301353760">
      <w:bodyDiv w:val="1"/>
      <w:marLeft w:val="0"/>
      <w:marRight w:val="0"/>
      <w:marTop w:val="0"/>
      <w:marBottom w:val="0"/>
      <w:divBdr>
        <w:top w:val="none" w:sz="0" w:space="0" w:color="auto"/>
        <w:left w:val="none" w:sz="0" w:space="0" w:color="auto"/>
        <w:bottom w:val="none" w:sz="0" w:space="0" w:color="auto"/>
        <w:right w:val="none" w:sz="0" w:space="0" w:color="auto"/>
      </w:divBdr>
    </w:div>
    <w:div w:id="517740242">
      <w:bodyDiv w:val="1"/>
      <w:marLeft w:val="0"/>
      <w:marRight w:val="0"/>
      <w:marTop w:val="0"/>
      <w:marBottom w:val="0"/>
      <w:divBdr>
        <w:top w:val="none" w:sz="0" w:space="0" w:color="auto"/>
        <w:left w:val="none" w:sz="0" w:space="0" w:color="auto"/>
        <w:bottom w:val="none" w:sz="0" w:space="0" w:color="auto"/>
        <w:right w:val="none" w:sz="0" w:space="0" w:color="auto"/>
      </w:divBdr>
    </w:div>
    <w:div w:id="578179102">
      <w:bodyDiv w:val="1"/>
      <w:marLeft w:val="0"/>
      <w:marRight w:val="0"/>
      <w:marTop w:val="0"/>
      <w:marBottom w:val="0"/>
      <w:divBdr>
        <w:top w:val="none" w:sz="0" w:space="0" w:color="auto"/>
        <w:left w:val="none" w:sz="0" w:space="0" w:color="auto"/>
        <w:bottom w:val="none" w:sz="0" w:space="0" w:color="auto"/>
        <w:right w:val="none" w:sz="0" w:space="0" w:color="auto"/>
      </w:divBdr>
    </w:div>
    <w:div w:id="674265045">
      <w:bodyDiv w:val="1"/>
      <w:marLeft w:val="0"/>
      <w:marRight w:val="0"/>
      <w:marTop w:val="0"/>
      <w:marBottom w:val="0"/>
      <w:divBdr>
        <w:top w:val="none" w:sz="0" w:space="0" w:color="auto"/>
        <w:left w:val="none" w:sz="0" w:space="0" w:color="auto"/>
        <w:bottom w:val="none" w:sz="0" w:space="0" w:color="auto"/>
        <w:right w:val="none" w:sz="0" w:space="0" w:color="auto"/>
      </w:divBdr>
    </w:div>
    <w:div w:id="786856967">
      <w:bodyDiv w:val="1"/>
      <w:marLeft w:val="0"/>
      <w:marRight w:val="0"/>
      <w:marTop w:val="0"/>
      <w:marBottom w:val="0"/>
      <w:divBdr>
        <w:top w:val="none" w:sz="0" w:space="0" w:color="auto"/>
        <w:left w:val="none" w:sz="0" w:space="0" w:color="auto"/>
        <w:bottom w:val="none" w:sz="0" w:space="0" w:color="auto"/>
        <w:right w:val="none" w:sz="0" w:space="0" w:color="auto"/>
      </w:divBdr>
    </w:div>
    <w:div w:id="811365192">
      <w:bodyDiv w:val="1"/>
      <w:marLeft w:val="0"/>
      <w:marRight w:val="0"/>
      <w:marTop w:val="0"/>
      <w:marBottom w:val="0"/>
      <w:divBdr>
        <w:top w:val="none" w:sz="0" w:space="0" w:color="auto"/>
        <w:left w:val="none" w:sz="0" w:space="0" w:color="auto"/>
        <w:bottom w:val="none" w:sz="0" w:space="0" w:color="auto"/>
        <w:right w:val="none" w:sz="0" w:space="0" w:color="auto"/>
      </w:divBdr>
    </w:div>
    <w:div w:id="828785188">
      <w:bodyDiv w:val="1"/>
      <w:marLeft w:val="0"/>
      <w:marRight w:val="0"/>
      <w:marTop w:val="0"/>
      <w:marBottom w:val="0"/>
      <w:divBdr>
        <w:top w:val="none" w:sz="0" w:space="0" w:color="auto"/>
        <w:left w:val="none" w:sz="0" w:space="0" w:color="auto"/>
        <w:bottom w:val="none" w:sz="0" w:space="0" w:color="auto"/>
        <w:right w:val="none" w:sz="0" w:space="0" w:color="auto"/>
      </w:divBdr>
    </w:div>
    <w:div w:id="1608195048">
      <w:bodyDiv w:val="1"/>
      <w:marLeft w:val="0"/>
      <w:marRight w:val="0"/>
      <w:marTop w:val="0"/>
      <w:marBottom w:val="0"/>
      <w:divBdr>
        <w:top w:val="none" w:sz="0" w:space="0" w:color="auto"/>
        <w:left w:val="none" w:sz="0" w:space="0" w:color="auto"/>
        <w:bottom w:val="none" w:sz="0" w:space="0" w:color="auto"/>
        <w:right w:val="none" w:sz="0" w:space="0" w:color="auto"/>
      </w:divBdr>
    </w:div>
    <w:div w:id="1645894405">
      <w:bodyDiv w:val="1"/>
      <w:marLeft w:val="0"/>
      <w:marRight w:val="0"/>
      <w:marTop w:val="0"/>
      <w:marBottom w:val="0"/>
      <w:divBdr>
        <w:top w:val="none" w:sz="0" w:space="0" w:color="auto"/>
        <w:left w:val="none" w:sz="0" w:space="0" w:color="auto"/>
        <w:bottom w:val="none" w:sz="0" w:space="0" w:color="auto"/>
        <w:right w:val="none" w:sz="0" w:space="0" w:color="auto"/>
      </w:divBdr>
    </w:div>
    <w:div w:id="1666782725">
      <w:bodyDiv w:val="1"/>
      <w:marLeft w:val="0"/>
      <w:marRight w:val="0"/>
      <w:marTop w:val="0"/>
      <w:marBottom w:val="0"/>
      <w:divBdr>
        <w:top w:val="none" w:sz="0" w:space="0" w:color="auto"/>
        <w:left w:val="none" w:sz="0" w:space="0" w:color="auto"/>
        <w:bottom w:val="none" w:sz="0" w:space="0" w:color="auto"/>
        <w:right w:val="none" w:sz="0" w:space="0" w:color="auto"/>
      </w:divBdr>
    </w:div>
    <w:div w:id="1668316602">
      <w:bodyDiv w:val="1"/>
      <w:marLeft w:val="0"/>
      <w:marRight w:val="0"/>
      <w:marTop w:val="0"/>
      <w:marBottom w:val="0"/>
      <w:divBdr>
        <w:top w:val="none" w:sz="0" w:space="0" w:color="auto"/>
        <w:left w:val="none" w:sz="0" w:space="0" w:color="auto"/>
        <w:bottom w:val="none" w:sz="0" w:space="0" w:color="auto"/>
        <w:right w:val="none" w:sz="0" w:space="0" w:color="auto"/>
      </w:divBdr>
    </w:div>
    <w:div w:id="1733766823">
      <w:bodyDiv w:val="1"/>
      <w:marLeft w:val="0"/>
      <w:marRight w:val="0"/>
      <w:marTop w:val="0"/>
      <w:marBottom w:val="0"/>
      <w:divBdr>
        <w:top w:val="none" w:sz="0" w:space="0" w:color="auto"/>
        <w:left w:val="none" w:sz="0" w:space="0" w:color="auto"/>
        <w:bottom w:val="none" w:sz="0" w:space="0" w:color="auto"/>
        <w:right w:val="none" w:sz="0" w:space="0" w:color="auto"/>
      </w:divBdr>
    </w:div>
    <w:div w:id="1793476119">
      <w:bodyDiv w:val="1"/>
      <w:marLeft w:val="0"/>
      <w:marRight w:val="0"/>
      <w:marTop w:val="0"/>
      <w:marBottom w:val="0"/>
      <w:divBdr>
        <w:top w:val="none" w:sz="0" w:space="0" w:color="auto"/>
        <w:left w:val="none" w:sz="0" w:space="0" w:color="auto"/>
        <w:bottom w:val="none" w:sz="0" w:space="0" w:color="auto"/>
        <w:right w:val="none" w:sz="0" w:space="0" w:color="auto"/>
      </w:divBdr>
    </w:div>
    <w:div w:id="2049448127">
      <w:bodyDiv w:val="1"/>
      <w:marLeft w:val="0"/>
      <w:marRight w:val="0"/>
      <w:marTop w:val="0"/>
      <w:marBottom w:val="0"/>
      <w:divBdr>
        <w:top w:val="none" w:sz="0" w:space="0" w:color="auto"/>
        <w:left w:val="none" w:sz="0" w:space="0" w:color="auto"/>
        <w:bottom w:val="none" w:sz="0" w:space="0" w:color="auto"/>
        <w:right w:val="none" w:sz="0" w:space="0" w:color="auto"/>
      </w:divBdr>
    </w:div>
    <w:div w:id="2050640653">
      <w:bodyDiv w:val="1"/>
      <w:marLeft w:val="0"/>
      <w:marRight w:val="0"/>
      <w:marTop w:val="0"/>
      <w:marBottom w:val="0"/>
      <w:divBdr>
        <w:top w:val="none" w:sz="0" w:space="0" w:color="auto"/>
        <w:left w:val="none" w:sz="0" w:space="0" w:color="auto"/>
        <w:bottom w:val="none" w:sz="0" w:space="0" w:color="auto"/>
        <w:right w:val="none" w:sz="0" w:space="0" w:color="auto"/>
      </w:divBdr>
    </w:div>
    <w:div w:id="2105421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Mississippi State Department of Health</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Schwindaman</dc:creator>
  <cp:lastModifiedBy>Richardson, Katherine</cp:lastModifiedBy>
  <cp:revision>7</cp:revision>
  <dcterms:created xsi:type="dcterms:W3CDTF">2017-09-28T18:20:00Z</dcterms:created>
  <dcterms:modified xsi:type="dcterms:W3CDTF">2017-10-16T18:42:00Z</dcterms:modified>
</cp:coreProperties>
</file>