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B1" w:rsidRDefault="00F640B1" w:rsidP="00F640B1">
      <w:pPr>
        <w:pStyle w:val="H2Orange"/>
      </w:pPr>
      <w:r>
        <w:t xml:space="preserve">WORK PLANS </w:t>
      </w:r>
    </w:p>
    <w:p w:rsidR="00F640B1" w:rsidRDefault="00304CD2" w:rsidP="00F640B1">
      <w:pPr>
        <w:pStyle w:val="H3Green"/>
      </w:pPr>
      <w:r>
        <w:t>Appendix M</w:t>
      </w:r>
      <w:r w:rsidR="00F640B1">
        <w:t xml:space="preserve"> </w:t>
      </w:r>
      <w:r>
        <w:t>–</w:t>
      </w:r>
      <w:r w:rsidR="00F640B1">
        <w:t xml:space="preserve"> </w:t>
      </w:r>
      <w:r>
        <w:t>Improve Infant Health</w:t>
      </w:r>
    </w:p>
    <w:p w:rsidR="00304CD2" w:rsidRPr="00304CD2" w:rsidRDefault="00304CD2" w:rsidP="00304CD2">
      <w:pPr>
        <w:pStyle w:val="BodySource"/>
        <w:rPr>
          <w:i w:val="0"/>
          <w:sz w:val="20"/>
          <w:szCs w:val="20"/>
        </w:rPr>
      </w:pPr>
      <w:r w:rsidRPr="00304CD2">
        <w:rPr>
          <w:i w:val="0"/>
          <w:sz w:val="20"/>
          <w:szCs w:val="20"/>
        </w:rPr>
        <w:t xml:space="preserve">Infant death is a measure of the health and well-being of children and the overall health of a community. It reflects the status of maternal health, the accessibility and quality of primary health care, and the availability of supportive services in the community. Infants with low birth weight or preterm delivery have a higher risk of death. The use of alcohol, tobacco, and illegal substances during pregnancy is a major risk factor for low birth weight, infant mortality, and other poor outcomes. Infant mortality rates vary substantially among racial and ethnic groups; the rate continues to be higher for African American infants than for white infants. </w:t>
      </w:r>
    </w:p>
    <w:p w:rsidR="00304CD2" w:rsidRPr="00304CD2" w:rsidRDefault="00304CD2" w:rsidP="00304CD2">
      <w:pPr>
        <w:pStyle w:val="BodySource"/>
        <w:rPr>
          <w:i w:val="0"/>
          <w:sz w:val="20"/>
          <w:szCs w:val="20"/>
        </w:rPr>
      </w:pPr>
      <w:r w:rsidRPr="00304CD2">
        <w:rPr>
          <w:i w:val="0"/>
          <w:sz w:val="20"/>
          <w:szCs w:val="20"/>
        </w:rPr>
        <w:t>During the past 10 years, Mississippi's infant mortality rate has fluctuated</w:t>
      </w:r>
      <w:r w:rsidR="00B05709">
        <w:rPr>
          <w:i w:val="0"/>
          <w:sz w:val="20"/>
          <w:szCs w:val="20"/>
        </w:rPr>
        <w:t>. The 2016 Infant Mortality Report indicated that Mississippi’s overall infant mortality rate was 9.2 deaths per 1,000 live infant births – an increase from 8.2 deaths per 1,000 live infant births in the 2015 Infant Mortality Report</w:t>
      </w:r>
      <w:r w:rsidRPr="00304CD2">
        <w:rPr>
          <w:i w:val="0"/>
          <w:sz w:val="20"/>
          <w:szCs w:val="20"/>
        </w:rPr>
        <w:t xml:space="preserve">. Mississippi has had a consistently higher infant mortality rate than the United States for the past decade. </w:t>
      </w:r>
    </w:p>
    <w:p w:rsidR="00D60B29" w:rsidRDefault="00304CD2" w:rsidP="00304CD2">
      <w:pPr>
        <w:pStyle w:val="BodySource"/>
      </w:pPr>
      <w:r w:rsidRPr="00304CD2">
        <w:rPr>
          <w:i w:val="0"/>
          <w:sz w:val="20"/>
          <w:szCs w:val="20"/>
        </w:rPr>
        <w:t xml:space="preserve">Breast milk contains antibodies that can help protect infants from a variety of illnesses. Among breastfed babies, conditions such as ear infections, obesity, asthma, and diarrhea are less common. Mothers who have breastfed have a lower risk of developing breast and ovarian cancer, type 2 diabetes, and postpartum depression. The American Academy of Pediatrics (AAP) recommends that infants are breastfed for at </w:t>
      </w:r>
      <w:r w:rsidR="00E62744">
        <w:rPr>
          <w:i w:val="0"/>
          <w:sz w:val="20"/>
          <w:szCs w:val="20"/>
        </w:rPr>
        <w:t xml:space="preserve">exclusively for about the first six month, followed by the introduction of solid food and other beverages for at </w:t>
      </w:r>
      <w:r w:rsidRPr="00304CD2">
        <w:rPr>
          <w:i w:val="0"/>
          <w:sz w:val="20"/>
          <w:szCs w:val="20"/>
        </w:rPr>
        <w:t>least 12 months</w:t>
      </w:r>
      <w:r w:rsidR="00E62744">
        <w:rPr>
          <w:i w:val="0"/>
          <w:sz w:val="20"/>
          <w:szCs w:val="20"/>
        </w:rPr>
        <w:t xml:space="preserve"> of age</w:t>
      </w:r>
      <w:r w:rsidR="00CD5926">
        <w:rPr>
          <w:i w:val="0"/>
          <w:color w:val="FF0000"/>
          <w:sz w:val="20"/>
          <w:szCs w:val="20"/>
          <w:vertAlign w:val="superscript"/>
        </w:rPr>
        <w:t>1</w:t>
      </w:r>
      <w:r w:rsidRPr="00304CD2">
        <w:rPr>
          <w:i w:val="0"/>
          <w:sz w:val="20"/>
          <w:szCs w:val="20"/>
        </w:rPr>
        <w:t xml:space="preserve">. </w:t>
      </w:r>
      <w:proofErr w:type="gramStart"/>
      <w:r w:rsidRPr="00304CD2">
        <w:rPr>
          <w:i w:val="0"/>
          <w:sz w:val="20"/>
          <w:szCs w:val="20"/>
        </w:rPr>
        <w:t>If 90 percent of mothers breastfed exclusively for six months, over 900 deaths among infants could be prevented yearly</w:t>
      </w:r>
      <w:r w:rsidR="00CD5926">
        <w:rPr>
          <w:i w:val="0"/>
          <w:color w:val="FF0000"/>
          <w:sz w:val="20"/>
          <w:szCs w:val="20"/>
          <w:vertAlign w:val="superscript"/>
        </w:rPr>
        <w:t>2</w:t>
      </w:r>
      <w:r w:rsidRPr="00304CD2">
        <w:rPr>
          <w:i w:val="0"/>
          <w:sz w:val="20"/>
          <w:szCs w:val="20"/>
        </w:rPr>
        <w:t>.</w:t>
      </w:r>
      <w:proofErr w:type="gramEnd"/>
    </w:p>
    <w:p w:rsidR="00D60B29" w:rsidRDefault="00C978BB" w:rsidP="00D60B29">
      <w:pPr>
        <w:pStyle w:val="H3Green"/>
      </w:pPr>
      <w:r>
        <w:t>APPENDIX M</w:t>
      </w:r>
      <w:r w:rsidR="006D718F">
        <w:t>:</w:t>
      </w:r>
      <w:r w:rsidR="00D60B29" w:rsidRPr="00D60B29">
        <w:t xml:space="preserve"> Mississippi State Community Scorecard – 2016</w:t>
      </w:r>
      <w:r w:rsidR="00D60B29">
        <w:br/>
      </w:r>
      <w:r w:rsidR="00A30B27">
        <w:t>PRIORITY AREA #2</w:t>
      </w:r>
      <w:r w:rsidR="006D718F">
        <w:t>:</w:t>
      </w:r>
      <w:r w:rsidR="00D60B29" w:rsidRPr="00D60B29">
        <w:t xml:space="preserve"> </w:t>
      </w:r>
      <w:r w:rsidR="009A57B1">
        <w:t>Improve Infant Health</w:t>
      </w:r>
    </w:p>
    <w:p w:rsidR="008A155C" w:rsidRDefault="00A30B27" w:rsidP="008A155C">
      <w:pPr>
        <w:pStyle w:val="H3Blue"/>
      </w:pPr>
      <w:r>
        <w:t>Goal 2</w:t>
      </w:r>
      <w:r w:rsidR="00E27696">
        <w:t xml:space="preserve">.0 </w:t>
      </w:r>
      <w:r w:rsidR="003D4929" w:rsidRPr="003D4929">
        <w:t>Improve the care of infants in Mississippi</w:t>
      </w:r>
    </w:p>
    <w:p w:rsidR="008A155C" w:rsidRDefault="008A155C" w:rsidP="008A155C">
      <w:r w:rsidRPr="008A155C">
        <w:rPr>
          <w:b/>
        </w:rPr>
        <w:t>Strategic Objective</w:t>
      </w:r>
      <w:r w:rsidR="003D4929">
        <w:rPr>
          <w:b/>
        </w:rPr>
        <w:t xml:space="preserve"> 2</w:t>
      </w:r>
      <w:r w:rsidR="00440CD3">
        <w:rPr>
          <w:b/>
        </w:rPr>
        <w:t xml:space="preserve">.0 </w:t>
      </w:r>
      <w:r w:rsidR="003D4929" w:rsidRPr="003D4929">
        <w:t>Increase the number of mother who are breastfeeding</w:t>
      </w:r>
    </w:p>
    <w:tbl>
      <w:tblPr>
        <w:tblStyle w:val="TableGrid"/>
        <w:tblW w:w="5173"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ook w:val="04A0" w:firstRow="1" w:lastRow="0" w:firstColumn="1" w:lastColumn="0" w:noHBand="0" w:noVBand="1"/>
      </w:tblPr>
      <w:tblGrid>
        <w:gridCol w:w="2090"/>
        <w:gridCol w:w="1228"/>
        <w:gridCol w:w="1285"/>
        <w:gridCol w:w="971"/>
        <w:gridCol w:w="8302"/>
        <w:gridCol w:w="1246"/>
      </w:tblGrid>
      <w:tr w:rsidR="00A924C6" w:rsidTr="00A924C6">
        <w:trPr>
          <w:trHeight w:val="591"/>
        </w:trPr>
        <w:tc>
          <w:tcPr>
            <w:tcW w:w="691" w:type="pct"/>
            <w:tcBorders>
              <w:right w:val="single" w:sz="12" w:space="0" w:color="FFFFFF" w:themeColor="background1"/>
            </w:tcBorders>
            <w:shd w:val="clear" w:color="auto" w:fill="F3F5E2"/>
            <w:vAlign w:val="center"/>
          </w:tcPr>
          <w:p w:rsidR="008C3C4D" w:rsidRPr="00042B28" w:rsidRDefault="008C3C4D" w:rsidP="0011592D">
            <w:pPr>
              <w:rPr>
                <w:b/>
                <w:color w:val="F57757"/>
                <w:szCs w:val="20"/>
              </w:rPr>
            </w:pPr>
            <w:r w:rsidRPr="00042B28">
              <w:rPr>
                <w:b/>
                <w:color w:val="F57757"/>
                <w:szCs w:val="20"/>
              </w:rPr>
              <w:t>Measure</w:t>
            </w:r>
          </w:p>
        </w:tc>
        <w:tc>
          <w:tcPr>
            <w:tcW w:w="406" w:type="pct"/>
            <w:tcBorders>
              <w:left w:val="single" w:sz="12" w:space="0" w:color="FFFFFF" w:themeColor="background1"/>
              <w:right w:val="single" w:sz="12" w:space="0" w:color="FFFFFF" w:themeColor="background1"/>
            </w:tcBorders>
            <w:shd w:val="clear" w:color="auto" w:fill="F3F5E2"/>
            <w:vAlign w:val="center"/>
          </w:tcPr>
          <w:p w:rsidR="008C3C4D" w:rsidRPr="008C3C4D" w:rsidRDefault="008C3C4D" w:rsidP="0011592D">
            <w:pPr>
              <w:ind w:left="-280" w:firstLine="270"/>
              <w:rPr>
                <w:b/>
                <w:color w:val="F57757"/>
                <w:szCs w:val="20"/>
              </w:rPr>
            </w:pPr>
            <w:r w:rsidRPr="008C3C4D">
              <w:rPr>
                <w:b/>
                <w:color w:val="F57757"/>
                <w:szCs w:val="20"/>
              </w:rPr>
              <w:t>Baseline</w:t>
            </w:r>
          </w:p>
        </w:tc>
        <w:tc>
          <w:tcPr>
            <w:tcW w:w="425" w:type="pct"/>
            <w:tcBorders>
              <w:left w:val="single" w:sz="12" w:space="0" w:color="FFFFFF" w:themeColor="background1"/>
              <w:right w:val="single" w:sz="12" w:space="0" w:color="FFFFFF" w:themeColor="background1"/>
            </w:tcBorders>
            <w:shd w:val="clear" w:color="auto" w:fill="F3F5E2"/>
            <w:vAlign w:val="center"/>
          </w:tcPr>
          <w:p w:rsidR="008C3C4D" w:rsidRPr="008C3C4D" w:rsidRDefault="008C3C4D" w:rsidP="000C2016">
            <w:pPr>
              <w:spacing w:after="0" w:line="240" w:lineRule="auto"/>
              <w:rPr>
                <w:b/>
                <w:color w:val="F57757"/>
                <w:szCs w:val="20"/>
              </w:rPr>
            </w:pPr>
            <w:r>
              <w:rPr>
                <w:b/>
                <w:color w:val="F57757"/>
                <w:szCs w:val="20"/>
              </w:rPr>
              <w:t>Current/</w:t>
            </w:r>
            <w:r w:rsidR="003E23FD">
              <w:rPr>
                <w:b/>
                <w:color w:val="F57757"/>
                <w:szCs w:val="20"/>
              </w:rPr>
              <w:br/>
            </w:r>
            <w:r>
              <w:rPr>
                <w:b/>
                <w:color w:val="F57757"/>
                <w:szCs w:val="20"/>
              </w:rPr>
              <w:t>Date</w:t>
            </w:r>
          </w:p>
        </w:tc>
        <w:tc>
          <w:tcPr>
            <w:tcW w:w="321" w:type="pct"/>
            <w:tcBorders>
              <w:left w:val="single" w:sz="12" w:space="0" w:color="FFFFFF" w:themeColor="background1"/>
              <w:right w:val="single" w:sz="12" w:space="0" w:color="FFFFFF" w:themeColor="background1"/>
            </w:tcBorders>
            <w:shd w:val="clear" w:color="auto" w:fill="F3F5E2"/>
            <w:vAlign w:val="center"/>
          </w:tcPr>
          <w:p w:rsidR="008C3C4D" w:rsidRPr="008C3C4D" w:rsidRDefault="008C3C4D" w:rsidP="0011592D">
            <w:pPr>
              <w:rPr>
                <w:b/>
                <w:color w:val="F57757"/>
                <w:szCs w:val="20"/>
              </w:rPr>
            </w:pPr>
            <w:r w:rsidRPr="008C3C4D">
              <w:rPr>
                <w:b/>
                <w:color w:val="F57757"/>
                <w:szCs w:val="20"/>
              </w:rPr>
              <w:t>Target</w:t>
            </w:r>
          </w:p>
        </w:tc>
        <w:tc>
          <w:tcPr>
            <w:tcW w:w="2745" w:type="pct"/>
            <w:tcBorders>
              <w:left w:val="single" w:sz="12" w:space="0" w:color="FFFFFF" w:themeColor="background1"/>
              <w:right w:val="single" w:sz="12" w:space="0" w:color="FFFFFF"/>
            </w:tcBorders>
            <w:shd w:val="clear" w:color="auto" w:fill="F3F5E2"/>
            <w:vAlign w:val="center"/>
          </w:tcPr>
          <w:p w:rsidR="008C3C4D" w:rsidRPr="00042B28" w:rsidRDefault="008C3C4D" w:rsidP="0011592D">
            <w:pPr>
              <w:rPr>
                <w:b/>
                <w:color w:val="F57757"/>
                <w:szCs w:val="20"/>
              </w:rPr>
            </w:pPr>
            <w:r w:rsidRPr="00042B28">
              <w:rPr>
                <w:b/>
                <w:color w:val="F57757"/>
                <w:szCs w:val="20"/>
              </w:rPr>
              <w:t>Critical Actions/Intervention Strategies</w:t>
            </w:r>
          </w:p>
        </w:tc>
        <w:tc>
          <w:tcPr>
            <w:tcW w:w="412" w:type="pct"/>
            <w:tcBorders>
              <w:left w:val="single" w:sz="12" w:space="0" w:color="FFFFFF"/>
            </w:tcBorders>
            <w:shd w:val="clear" w:color="auto" w:fill="F3F5E2"/>
            <w:vAlign w:val="center"/>
          </w:tcPr>
          <w:p w:rsidR="008C3C4D" w:rsidRPr="00042B28" w:rsidRDefault="008C3C4D" w:rsidP="003E23FD">
            <w:pPr>
              <w:spacing w:after="0" w:line="240" w:lineRule="auto"/>
              <w:rPr>
                <w:b/>
                <w:color w:val="F57757"/>
                <w:szCs w:val="20"/>
              </w:rPr>
            </w:pPr>
            <w:r w:rsidRPr="00042B28">
              <w:rPr>
                <w:b/>
                <w:color w:val="F57757"/>
                <w:szCs w:val="20"/>
              </w:rPr>
              <w:t>Status</w:t>
            </w:r>
            <w:r w:rsidRPr="00042B28">
              <w:rPr>
                <w:b/>
                <w:color w:val="F57757"/>
                <w:szCs w:val="20"/>
              </w:rPr>
              <w:br/>
              <w:t>R/Y/G</w:t>
            </w:r>
          </w:p>
        </w:tc>
      </w:tr>
      <w:tr w:rsidR="00A924C6" w:rsidTr="00A924C6">
        <w:trPr>
          <w:trHeight w:val="1617"/>
        </w:trPr>
        <w:tc>
          <w:tcPr>
            <w:tcW w:w="691" w:type="pct"/>
          </w:tcPr>
          <w:p w:rsidR="003D4929" w:rsidRPr="003D4929" w:rsidRDefault="003D4929" w:rsidP="003D4929">
            <w:pPr>
              <w:spacing w:line="260" w:lineRule="exact"/>
              <w:rPr>
                <w:sz w:val="19"/>
                <w:szCs w:val="19"/>
              </w:rPr>
            </w:pPr>
            <w:r w:rsidRPr="003D4929">
              <w:rPr>
                <w:sz w:val="19"/>
                <w:szCs w:val="19"/>
              </w:rPr>
              <w:t>Percentage of infants who were ever breastfed</w:t>
            </w:r>
          </w:p>
          <w:p w:rsidR="008C3C4D" w:rsidRPr="003E23FD" w:rsidRDefault="003D4929" w:rsidP="00D25AD4">
            <w:pPr>
              <w:pStyle w:val="BodySource"/>
              <w:spacing w:after="40" w:line="260" w:lineRule="exact"/>
              <w:rPr>
                <w:szCs w:val="19"/>
              </w:rPr>
            </w:pPr>
            <w:r>
              <w:rPr>
                <w:szCs w:val="19"/>
              </w:rPr>
              <w:t>Data Source:</w:t>
            </w:r>
            <w:r w:rsidR="00D22A40">
              <w:rPr>
                <w:szCs w:val="19"/>
              </w:rPr>
              <w:t xml:space="preserve"> </w:t>
            </w:r>
            <w:r w:rsidRPr="003D4929">
              <w:rPr>
                <w:szCs w:val="19"/>
              </w:rPr>
              <w:t xml:space="preserve">CDC Breastfeeding </w:t>
            </w:r>
            <w:r w:rsidR="00941345">
              <w:rPr>
                <w:szCs w:val="19"/>
              </w:rPr>
              <w:br/>
            </w:r>
            <w:r w:rsidRPr="003D4929">
              <w:rPr>
                <w:szCs w:val="19"/>
              </w:rPr>
              <w:t>Report Card 2013</w:t>
            </w:r>
            <w:r w:rsidR="00B05709">
              <w:rPr>
                <w:szCs w:val="19"/>
              </w:rPr>
              <w:t xml:space="preserve"> and 2016</w:t>
            </w:r>
          </w:p>
        </w:tc>
        <w:tc>
          <w:tcPr>
            <w:tcW w:w="406" w:type="pct"/>
          </w:tcPr>
          <w:p w:rsidR="003D4929" w:rsidRPr="003D4929" w:rsidRDefault="003D4929" w:rsidP="003D4929">
            <w:pPr>
              <w:spacing w:line="260" w:lineRule="exact"/>
              <w:rPr>
                <w:sz w:val="19"/>
                <w:szCs w:val="19"/>
              </w:rPr>
            </w:pPr>
            <w:r w:rsidRPr="003D4929">
              <w:rPr>
                <w:sz w:val="19"/>
                <w:szCs w:val="19"/>
              </w:rPr>
              <w:t>2013:</w:t>
            </w:r>
          </w:p>
          <w:p w:rsidR="008C3C4D" w:rsidRPr="003E23FD" w:rsidRDefault="003D4929" w:rsidP="003D4929">
            <w:pPr>
              <w:spacing w:line="260" w:lineRule="exact"/>
              <w:rPr>
                <w:sz w:val="19"/>
                <w:szCs w:val="19"/>
              </w:rPr>
            </w:pPr>
            <w:r w:rsidRPr="003D4929">
              <w:rPr>
                <w:sz w:val="19"/>
                <w:szCs w:val="19"/>
              </w:rPr>
              <w:t>50.5%</w:t>
            </w:r>
          </w:p>
        </w:tc>
        <w:tc>
          <w:tcPr>
            <w:tcW w:w="425" w:type="pct"/>
          </w:tcPr>
          <w:p w:rsidR="008C3C4D" w:rsidRDefault="003E5A21" w:rsidP="003E23FD">
            <w:pPr>
              <w:spacing w:line="260" w:lineRule="exact"/>
              <w:rPr>
                <w:sz w:val="19"/>
                <w:szCs w:val="19"/>
              </w:rPr>
            </w:pPr>
            <w:r>
              <w:rPr>
                <w:sz w:val="19"/>
                <w:szCs w:val="19"/>
              </w:rPr>
              <w:t>2016</w:t>
            </w:r>
          </w:p>
          <w:p w:rsidR="003E5A21" w:rsidRPr="003E23FD" w:rsidRDefault="003E5A21" w:rsidP="003E23FD">
            <w:pPr>
              <w:spacing w:line="260" w:lineRule="exact"/>
              <w:rPr>
                <w:sz w:val="19"/>
                <w:szCs w:val="19"/>
              </w:rPr>
            </w:pPr>
            <w:r>
              <w:rPr>
                <w:sz w:val="19"/>
                <w:szCs w:val="19"/>
              </w:rPr>
              <w:t>52.0%</w:t>
            </w:r>
          </w:p>
        </w:tc>
        <w:tc>
          <w:tcPr>
            <w:tcW w:w="321" w:type="pct"/>
          </w:tcPr>
          <w:p w:rsidR="003D4929" w:rsidRPr="003D4929" w:rsidRDefault="003D4929" w:rsidP="003D4929">
            <w:pPr>
              <w:spacing w:line="260" w:lineRule="exact"/>
              <w:rPr>
                <w:sz w:val="19"/>
                <w:szCs w:val="19"/>
              </w:rPr>
            </w:pPr>
            <w:r w:rsidRPr="003D4929">
              <w:rPr>
                <w:sz w:val="19"/>
                <w:szCs w:val="19"/>
              </w:rPr>
              <w:t>2018 Births:</w:t>
            </w:r>
          </w:p>
          <w:p w:rsidR="008C3C4D" w:rsidRPr="003E23FD" w:rsidRDefault="003D4929" w:rsidP="003D4929">
            <w:pPr>
              <w:spacing w:line="260" w:lineRule="exact"/>
              <w:rPr>
                <w:sz w:val="19"/>
                <w:szCs w:val="19"/>
              </w:rPr>
            </w:pPr>
            <w:r w:rsidRPr="003D4929">
              <w:rPr>
                <w:sz w:val="19"/>
                <w:szCs w:val="19"/>
              </w:rPr>
              <w:t>60.5%</w:t>
            </w:r>
          </w:p>
        </w:tc>
        <w:tc>
          <w:tcPr>
            <w:tcW w:w="2745" w:type="pct"/>
          </w:tcPr>
          <w:p w:rsidR="003D4929" w:rsidRPr="003D4929" w:rsidRDefault="003D4929" w:rsidP="00BA15A5">
            <w:pPr>
              <w:pStyle w:val="Style1"/>
            </w:pPr>
            <w:r>
              <w:t xml:space="preserve">a. </w:t>
            </w:r>
            <w:r w:rsidRPr="003D4929">
              <w:t xml:space="preserve">Increase public awareness </w:t>
            </w:r>
            <w:r>
              <w:t xml:space="preserve">of Baby Friendly, and what that </w:t>
            </w:r>
            <w:r w:rsidRPr="003D4929">
              <w:t xml:space="preserve">means by January 2018 </w:t>
            </w:r>
          </w:p>
          <w:p w:rsidR="008C3C4D" w:rsidRPr="003E23FD" w:rsidRDefault="003D4929" w:rsidP="00BA15A5">
            <w:pPr>
              <w:pStyle w:val="Style1"/>
            </w:pPr>
            <w:r>
              <w:t xml:space="preserve">b. </w:t>
            </w:r>
            <w:r w:rsidRPr="003D4929">
              <w:t>Provide incentives to hospitals as they make efforts towards Baby Friendly by September 2016</w:t>
            </w:r>
          </w:p>
        </w:tc>
        <w:tc>
          <w:tcPr>
            <w:tcW w:w="412" w:type="pct"/>
          </w:tcPr>
          <w:p w:rsidR="008C3C4D" w:rsidRPr="00DA6A9F" w:rsidRDefault="00941345" w:rsidP="003E23FD">
            <w:pPr>
              <w:spacing w:line="260" w:lineRule="exact"/>
              <w:rPr>
                <w:sz w:val="19"/>
                <w:szCs w:val="19"/>
              </w:rPr>
            </w:pPr>
            <w:r w:rsidRPr="00DA6A9F">
              <w:rPr>
                <w:sz w:val="19"/>
                <w:szCs w:val="19"/>
              </w:rPr>
              <w:t>a. Green</w:t>
            </w:r>
          </w:p>
          <w:p w:rsidR="00941345" w:rsidRDefault="00941345" w:rsidP="003E23FD">
            <w:pPr>
              <w:spacing w:line="260" w:lineRule="exact"/>
            </w:pPr>
            <w:r w:rsidRPr="00DA6A9F">
              <w:rPr>
                <w:sz w:val="19"/>
                <w:szCs w:val="19"/>
              </w:rPr>
              <w:t>b. Yellow</w:t>
            </w:r>
          </w:p>
        </w:tc>
      </w:tr>
      <w:tr w:rsidR="00B7414E" w:rsidTr="00B7414E">
        <w:trPr>
          <w:trHeight w:val="276"/>
        </w:trPr>
        <w:tc>
          <w:tcPr>
            <w:tcW w:w="5000" w:type="pct"/>
            <w:gridSpan w:val="6"/>
            <w:vAlign w:val="center"/>
          </w:tcPr>
          <w:p w:rsidR="0011592D" w:rsidRPr="008754E4" w:rsidRDefault="0011592D" w:rsidP="003476AD">
            <w:pPr>
              <w:pStyle w:val="GoalLeads"/>
            </w:pPr>
            <w:r w:rsidRPr="0011592D">
              <w:lastRenderedPageBreak/>
              <w:t xml:space="preserve">Organization/ Lead Person: </w:t>
            </w:r>
            <w:r w:rsidR="003476AD">
              <w:t xml:space="preserve">a. Blue Cross/Blue Shield, </w:t>
            </w:r>
            <w:r w:rsidR="00D25AD4">
              <w:t>Sara</w:t>
            </w:r>
            <w:r w:rsidR="003476AD">
              <w:t>h</w:t>
            </w:r>
            <w:r w:rsidR="00D25AD4">
              <w:t xml:space="preserve"> Broom  b. Lydia West, MSPHI</w:t>
            </w:r>
          </w:p>
        </w:tc>
      </w:tr>
    </w:tbl>
    <w:p w:rsidR="00C90E57" w:rsidRDefault="00C90E57" w:rsidP="00941345">
      <w:pPr>
        <w:pStyle w:val="H3Green"/>
      </w:pPr>
    </w:p>
    <w:p w:rsidR="00941345" w:rsidRDefault="00941345" w:rsidP="00941345">
      <w:pPr>
        <w:pStyle w:val="H3Green"/>
      </w:pPr>
      <w:r>
        <w:t>APPENDIX M</w:t>
      </w:r>
      <w:r w:rsidR="006D718F">
        <w:t xml:space="preserve">: </w:t>
      </w:r>
      <w:r w:rsidRPr="00D60B29">
        <w:t>Mississippi State Community Scorecard – 2016</w:t>
      </w:r>
      <w:r>
        <w:br/>
        <w:t>PRIORITY AREA #2</w:t>
      </w:r>
      <w:r w:rsidRPr="00D60B29">
        <w:t xml:space="preserve">: </w:t>
      </w:r>
      <w:r w:rsidR="009A57B1">
        <w:t>Improve Infant Health</w:t>
      </w:r>
    </w:p>
    <w:p w:rsidR="00941345" w:rsidRDefault="00941345" w:rsidP="00941345">
      <w:pPr>
        <w:pStyle w:val="H3Blue"/>
      </w:pPr>
      <w:r>
        <w:t>Goal 2</w:t>
      </w:r>
      <w:r w:rsidR="00E27696">
        <w:t xml:space="preserve">.0 </w:t>
      </w:r>
      <w:r w:rsidRPr="003D4929">
        <w:t>Improve the care of infants in Mississippi</w:t>
      </w:r>
    </w:p>
    <w:p w:rsidR="00941345" w:rsidRDefault="00941345" w:rsidP="00941345">
      <w:r w:rsidRPr="008A155C">
        <w:rPr>
          <w:b/>
        </w:rPr>
        <w:t>Strategic Objective</w:t>
      </w:r>
      <w:r>
        <w:rPr>
          <w:b/>
        </w:rPr>
        <w:t xml:space="preserve"> 2.0 </w:t>
      </w:r>
      <w:r w:rsidRPr="003D4929">
        <w:t>Increase the number of mother who are breastfeeding</w:t>
      </w:r>
    </w:p>
    <w:tbl>
      <w:tblPr>
        <w:tblStyle w:val="TableGrid"/>
        <w:tblW w:w="5173"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ook w:val="04A0" w:firstRow="1" w:lastRow="0" w:firstColumn="1" w:lastColumn="0" w:noHBand="0" w:noVBand="1"/>
      </w:tblPr>
      <w:tblGrid>
        <w:gridCol w:w="2052"/>
        <w:gridCol w:w="1288"/>
        <w:gridCol w:w="1285"/>
        <w:gridCol w:w="1110"/>
        <w:gridCol w:w="8093"/>
        <w:gridCol w:w="1294"/>
      </w:tblGrid>
      <w:tr w:rsidR="002B42F5" w:rsidTr="002B42F5">
        <w:trPr>
          <w:trHeight w:val="645"/>
        </w:trPr>
        <w:tc>
          <w:tcPr>
            <w:tcW w:w="678" w:type="pct"/>
            <w:tcBorders>
              <w:right w:val="single" w:sz="12" w:space="0" w:color="FFFFFF" w:themeColor="background1"/>
            </w:tcBorders>
            <w:shd w:val="clear" w:color="auto" w:fill="F3F5E2"/>
            <w:vAlign w:val="center"/>
          </w:tcPr>
          <w:p w:rsidR="00941345" w:rsidRPr="00042B28" w:rsidRDefault="00941345" w:rsidP="00E62744">
            <w:pPr>
              <w:rPr>
                <w:b/>
                <w:color w:val="F57757"/>
                <w:szCs w:val="20"/>
              </w:rPr>
            </w:pPr>
            <w:r w:rsidRPr="00042B28">
              <w:rPr>
                <w:b/>
                <w:color w:val="F57757"/>
                <w:szCs w:val="20"/>
              </w:rPr>
              <w:t>Measure</w:t>
            </w:r>
          </w:p>
        </w:tc>
        <w:tc>
          <w:tcPr>
            <w:tcW w:w="426" w:type="pct"/>
            <w:tcBorders>
              <w:left w:val="single" w:sz="12" w:space="0" w:color="FFFFFF" w:themeColor="background1"/>
              <w:right w:val="single" w:sz="12" w:space="0" w:color="FFFFFF" w:themeColor="background1"/>
            </w:tcBorders>
            <w:shd w:val="clear" w:color="auto" w:fill="F3F5E2"/>
            <w:vAlign w:val="center"/>
          </w:tcPr>
          <w:p w:rsidR="00941345" w:rsidRPr="008C3C4D" w:rsidRDefault="00941345" w:rsidP="00E62744">
            <w:pPr>
              <w:ind w:left="-280" w:firstLine="270"/>
              <w:rPr>
                <w:b/>
                <w:color w:val="F57757"/>
                <w:szCs w:val="20"/>
              </w:rPr>
            </w:pPr>
            <w:r w:rsidRPr="008C3C4D">
              <w:rPr>
                <w:b/>
                <w:color w:val="F57757"/>
                <w:szCs w:val="20"/>
              </w:rPr>
              <w:t>Baseline</w:t>
            </w:r>
          </w:p>
        </w:tc>
        <w:tc>
          <w:tcPr>
            <w:tcW w:w="425" w:type="pct"/>
            <w:tcBorders>
              <w:left w:val="single" w:sz="12" w:space="0" w:color="FFFFFF" w:themeColor="background1"/>
              <w:right w:val="single" w:sz="12" w:space="0" w:color="FFFFFF" w:themeColor="background1"/>
            </w:tcBorders>
            <w:shd w:val="clear" w:color="auto" w:fill="F3F5E2"/>
            <w:vAlign w:val="center"/>
          </w:tcPr>
          <w:p w:rsidR="00941345" w:rsidRPr="008C3C4D" w:rsidRDefault="00941345" w:rsidP="000C2016">
            <w:pPr>
              <w:spacing w:after="0" w:line="240" w:lineRule="auto"/>
              <w:rPr>
                <w:b/>
                <w:color w:val="F57757"/>
                <w:szCs w:val="20"/>
              </w:rPr>
            </w:pPr>
            <w:r>
              <w:rPr>
                <w:b/>
                <w:color w:val="F57757"/>
                <w:szCs w:val="20"/>
              </w:rPr>
              <w:t>Current/</w:t>
            </w:r>
            <w:r>
              <w:rPr>
                <w:b/>
                <w:color w:val="F57757"/>
                <w:szCs w:val="20"/>
              </w:rPr>
              <w:br/>
              <w:t>Date</w:t>
            </w:r>
          </w:p>
        </w:tc>
        <w:tc>
          <w:tcPr>
            <w:tcW w:w="367" w:type="pct"/>
            <w:tcBorders>
              <w:left w:val="single" w:sz="12" w:space="0" w:color="FFFFFF" w:themeColor="background1"/>
              <w:right w:val="single" w:sz="12" w:space="0" w:color="FFFFFF" w:themeColor="background1"/>
            </w:tcBorders>
            <w:shd w:val="clear" w:color="auto" w:fill="F3F5E2"/>
            <w:vAlign w:val="center"/>
          </w:tcPr>
          <w:p w:rsidR="00941345" w:rsidRPr="008C3C4D" w:rsidRDefault="00941345" w:rsidP="00E62744">
            <w:pPr>
              <w:rPr>
                <w:b/>
                <w:color w:val="F57757"/>
                <w:szCs w:val="20"/>
              </w:rPr>
            </w:pPr>
            <w:r w:rsidRPr="008C3C4D">
              <w:rPr>
                <w:b/>
                <w:color w:val="F57757"/>
                <w:szCs w:val="20"/>
              </w:rPr>
              <w:t>Target</w:t>
            </w:r>
          </w:p>
        </w:tc>
        <w:tc>
          <w:tcPr>
            <w:tcW w:w="2676" w:type="pct"/>
            <w:tcBorders>
              <w:left w:val="single" w:sz="12" w:space="0" w:color="FFFFFF" w:themeColor="background1"/>
              <w:right w:val="single" w:sz="12" w:space="0" w:color="FFFFFF"/>
            </w:tcBorders>
            <w:shd w:val="clear" w:color="auto" w:fill="F3F5E2"/>
            <w:vAlign w:val="center"/>
          </w:tcPr>
          <w:p w:rsidR="00941345" w:rsidRPr="00042B28" w:rsidRDefault="00941345" w:rsidP="00E62744">
            <w:pPr>
              <w:rPr>
                <w:b/>
                <w:color w:val="F57757"/>
                <w:szCs w:val="20"/>
              </w:rPr>
            </w:pPr>
            <w:r w:rsidRPr="00042B28">
              <w:rPr>
                <w:b/>
                <w:color w:val="F57757"/>
                <w:szCs w:val="20"/>
              </w:rPr>
              <w:t>Critical Actions/Intervention Strategies</w:t>
            </w:r>
          </w:p>
        </w:tc>
        <w:tc>
          <w:tcPr>
            <w:tcW w:w="428" w:type="pct"/>
            <w:tcBorders>
              <w:left w:val="single" w:sz="12" w:space="0" w:color="FFFFFF"/>
            </w:tcBorders>
            <w:shd w:val="clear" w:color="auto" w:fill="F3F5E2"/>
            <w:vAlign w:val="center"/>
          </w:tcPr>
          <w:p w:rsidR="00941345" w:rsidRPr="00042B28" w:rsidRDefault="00941345" w:rsidP="00E62744">
            <w:pPr>
              <w:spacing w:after="0" w:line="240" w:lineRule="auto"/>
              <w:rPr>
                <w:b/>
                <w:color w:val="F57757"/>
                <w:szCs w:val="20"/>
              </w:rPr>
            </w:pPr>
            <w:r w:rsidRPr="00042B28">
              <w:rPr>
                <w:b/>
                <w:color w:val="F57757"/>
                <w:szCs w:val="20"/>
              </w:rPr>
              <w:t>Status</w:t>
            </w:r>
            <w:r w:rsidRPr="00042B28">
              <w:rPr>
                <w:b/>
                <w:color w:val="F57757"/>
                <w:szCs w:val="20"/>
              </w:rPr>
              <w:br/>
              <w:t>R/Y/G</w:t>
            </w:r>
          </w:p>
        </w:tc>
      </w:tr>
      <w:tr w:rsidR="002B42F5" w:rsidTr="002B42F5">
        <w:trPr>
          <w:trHeight w:val="2733"/>
        </w:trPr>
        <w:tc>
          <w:tcPr>
            <w:tcW w:w="678" w:type="pct"/>
          </w:tcPr>
          <w:p w:rsidR="00941345" w:rsidRPr="00941345" w:rsidRDefault="00941345" w:rsidP="00941345">
            <w:pPr>
              <w:spacing w:line="260" w:lineRule="exact"/>
              <w:rPr>
                <w:sz w:val="19"/>
                <w:szCs w:val="19"/>
              </w:rPr>
            </w:pPr>
            <w:r w:rsidRPr="00941345">
              <w:rPr>
                <w:sz w:val="19"/>
                <w:szCs w:val="19"/>
              </w:rPr>
              <w:t>Percentage of infants breastfed at 6 months</w:t>
            </w:r>
          </w:p>
          <w:p w:rsidR="00941345" w:rsidRPr="003E23FD" w:rsidRDefault="00941345" w:rsidP="00941345">
            <w:pPr>
              <w:pStyle w:val="BodySource"/>
              <w:spacing w:after="40" w:line="260" w:lineRule="exact"/>
              <w:rPr>
                <w:szCs w:val="19"/>
              </w:rPr>
            </w:pPr>
            <w:r>
              <w:rPr>
                <w:szCs w:val="19"/>
              </w:rPr>
              <w:t xml:space="preserve">Data Source: </w:t>
            </w:r>
            <w:r w:rsidRPr="00941345">
              <w:rPr>
                <w:szCs w:val="19"/>
              </w:rPr>
              <w:t xml:space="preserve">CDC Breastfeeding </w:t>
            </w:r>
            <w:r>
              <w:rPr>
                <w:szCs w:val="19"/>
              </w:rPr>
              <w:br/>
            </w:r>
            <w:r w:rsidRPr="00941345">
              <w:rPr>
                <w:szCs w:val="19"/>
              </w:rPr>
              <w:t>Report Card 2013</w:t>
            </w:r>
            <w:r w:rsidR="00F27977">
              <w:rPr>
                <w:szCs w:val="19"/>
              </w:rPr>
              <w:t xml:space="preserve"> and 2016</w:t>
            </w:r>
          </w:p>
        </w:tc>
        <w:tc>
          <w:tcPr>
            <w:tcW w:w="426" w:type="pct"/>
          </w:tcPr>
          <w:p w:rsidR="00941345" w:rsidRPr="003D4929" w:rsidRDefault="00941345" w:rsidP="00E62744">
            <w:pPr>
              <w:spacing w:line="260" w:lineRule="exact"/>
              <w:rPr>
                <w:sz w:val="19"/>
                <w:szCs w:val="19"/>
              </w:rPr>
            </w:pPr>
            <w:r w:rsidRPr="003D4929">
              <w:rPr>
                <w:sz w:val="19"/>
                <w:szCs w:val="19"/>
              </w:rPr>
              <w:t>2013:</w:t>
            </w:r>
          </w:p>
          <w:p w:rsidR="00941345" w:rsidRPr="003E23FD" w:rsidRDefault="00941345" w:rsidP="00E62744">
            <w:pPr>
              <w:spacing w:line="260" w:lineRule="exact"/>
              <w:rPr>
                <w:sz w:val="19"/>
                <w:szCs w:val="19"/>
              </w:rPr>
            </w:pPr>
            <w:r>
              <w:rPr>
                <w:sz w:val="19"/>
                <w:szCs w:val="19"/>
              </w:rPr>
              <w:t>19.7%</w:t>
            </w:r>
          </w:p>
        </w:tc>
        <w:tc>
          <w:tcPr>
            <w:tcW w:w="425" w:type="pct"/>
          </w:tcPr>
          <w:p w:rsidR="00941345" w:rsidRDefault="003E5A21" w:rsidP="00E62744">
            <w:pPr>
              <w:spacing w:line="260" w:lineRule="exact"/>
              <w:rPr>
                <w:sz w:val="19"/>
                <w:szCs w:val="19"/>
              </w:rPr>
            </w:pPr>
            <w:r>
              <w:rPr>
                <w:sz w:val="19"/>
                <w:szCs w:val="19"/>
              </w:rPr>
              <w:t>2016:</w:t>
            </w:r>
          </w:p>
          <w:p w:rsidR="003E5A21" w:rsidRPr="003E23FD" w:rsidRDefault="003E5A21" w:rsidP="00E62744">
            <w:pPr>
              <w:spacing w:line="260" w:lineRule="exact"/>
              <w:rPr>
                <w:sz w:val="19"/>
                <w:szCs w:val="19"/>
              </w:rPr>
            </w:pPr>
            <w:r>
              <w:rPr>
                <w:sz w:val="19"/>
                <w:szCs w:val="19"/>
              </w:rPr>
              <w:t>23.9%</w:t>
            </w:r>
          </w:p>
        </w:tc>
        <w:tc>
          <w:tcPr>
            <w:tcW w:w="367" w:type="pct"/>
          </w:tcPr>
          <w:p w:rsidR="00941345" w:rsidRPr="003D4929" w:rsidRDefault="00941345" w:rsidP="00E62744">
            <w:pPr>
              <w:spacing w:line="260" w:lineRule="exact"/>
              <w:rPr>
                <w:sz w:val="19"/>
                <w:szCs w:val="19"/>
              </w:rPr>
            </w:pPr>
            <w:r w:rsidRPr="003D4929">
              <w:rPr>
                <w:sz w:val="19"/>
                <w:szCs w:val="19"/>
              </w:rPr>
              <w:t>2018 Births:</w:t>
            </w:r>
          </w:p>
          <w:p w:rsidR="00941345" w:rsidRPr="003E23FD" w:rsidRDefault="00941345" w:rsidP="00E62744">
            <w:pPr>
              <w:spacing w:line="260" w:lineRule="exact"/>
              <w:rPr>
                <w:sz w:val="19"/>
                <w:szCs w:val="19"/>
              </w:rPr>
            </w:pPr>
            <w:r>
              <w:rPr>
                <w:sz w:val="19"/>
                <w:szCs w:val="19"/>
              </w:rPr>
              <w:t>29.7</w:t>
            </w:r>
            <w:r w:rsidRPr="003D4929">
              <w:rPr>
                <w:sz w:val="19"/>
                <w:szCs w:val="19"/>
              </w:rPr>
              <w:t>%</w:t>
            </w:r>
          </w:p>
        </w:tc>
        <w:tc>
          <w:tcPr>
            <w:tcW w:w="2676" w:type="pct"/>
          </w:tcPr>
          <w:p w:rsidR="00941345" w:rsidRPr="00941345" w:rsidRDefault="00941345" w:rsidP="00BA15A5">
            <w:pPr>
              <w:pStyle w:val="Style1"/>
            </w:pPr>
            <w:r w:rsidRPr="00941345">
              <w:t xml:space="preserve">c. Determine WIC breast feeding number per county by </w:t>
            </w:r>
            <w:r w:rsidR="00BA15A5">
              <w:t xml:space="preserve">February </w:t>
            </w:r>
            <w:r w:rsidRPr="00941345">
              <w:t>2016</w:t>
            </w:r>
          </w:p>
          <w:p w:rsidR="00941345" w:rsidRPr="00941345" w:rsidRDefault="00941345" w:rsidP="00BA15A5">
            <w:pPr>
              <w:pStyle w:val="Style1"/>
            </w:pPr>
            <w:r w:rsidRPr="00941345">
              <w:t xml:space="preserve">d. Identify applicable evidence-based tools and trainings for use in </w:t>
            </w:r>
            <w:r w:rsidR="002B42F5">
              <w:br/>
            </w:r>
            <w:r w:rsidRPr="00941345">
              <w:t>Mississippi by September 2016</w:t>
            </w:r>
          </w:p>
          <w:p w:rsidR="00941345" w:rsidRPr="00941345" w:rsidRDefault="00941345" w:rsidP="00BA15A5">
            <w:pPr>
              <w:pStyle w:val="Style1"/>
            </w:pPr>
            <w:r w:rsidRPr="00941345">
              <w:t>e. Determine necessary community partners by September 2016</w:t>
            </w:r>
          </w:p>
          <w:p w:rsidR="00941345" w:rsidRDefault="00941345" w:rsidP="00BA15A5">
            <w:pPr>
              <w:pStyle w:val="Style1"/>
            </w:pPr>
            <w:r w:rsidRPr="00941345">
              <w:t>f. Determine who will provide education by September 2016</w:t>
            </w:r>
          </w:p>
          <w:p w:rsidR="00961649" w:rsidRPr="00961649" w:rsidRDefault="00961649" w:rsidP="00BA15A5">
            <w:pPr>
              <w:pStyle w:val="Style1"/>
            </w:pPr>
            <w:r>
              <w:t xml:space="preserve">g. </w:t>
            </w:r>
            <w:r w:rsidRPr="00961649">
              <w:t>Determine cost and find necessary funding by September 2016</w:t>
            </w:r>
          </w:p>
          <w:p w:rsidR="00961649" w:rsidRPr="00961649" w:rsidRDefault="00961649" w:rsidP="00BA15A5">
            <w:pPr>
              <w:pStyle w:val="Style1"/>
            </w:pPr>
            <w:r>
              <w:t xml:space="preserve">h. </w:t>
            </w:r>
            <w:r w:rsidRPr="00961649">
              <w:t>Increase community awareness on benefits of breast feeding by August 2016</w:t>
            </w:r>
          </w:p>
          <w:p w:rsidR="00961649" w:rsidRPr="00BA15A5" w:rsidRDefault="00961649" w:rsidP="00DF6E34">
            <w:pPr>
              <w:pStyle w:val="Style1"/>
              <w:spacing w:after="40"/>
            </w:pPr>
            <w:proofErr w:type="spellStart"/>
            <w:r w:rsidRPr="00BA15A5">
              <w:t>i</w:t>
            </w:r>
            <w:proofErr w:type="spellEnd"/>
            <w:r w:rsidRPr="00BA15A5">
              <w:t>. Follow-up with breastfeeding awareness month in August by August 2016</w:t>
            </w:r>
          </w:p>
        </w:tc>
        <w:tc>
          <w:tcPr>
            <w:tcW w:w="428" w:type="pct"/>
          </w:tcPr>
          <w:p w:rsidR="00941345" w:rsidRPr="00DA6A9F" w:rsidRDefault="00941345" w:rsidP="00941345">
            <w:pPr>
              <w:spacing w:line="260" w:lineRule="exact"/>
              <w:rPr>
                <w:sz w:val="19"/>
                <w:szCs w:val="19"/>
              </w:rPr>
            </w:pPr>
            <w:r w:rsidRPr="00DA6A9F">
              <w:rPr>
                <w:sz w:val="19"/>
                <w:szCs w:val="19"/>
              </w:rPr>
              <w:t>c. Green</w:t>
            </w:r>
          </w:p>
          <w:p w:rsidR="00941345" w:rsidRPr="00DA6A9F" w:rsidRDefault="00941345" w:rsidP="00941345">
            <w:pPr>
              <w:spacing w:line="260" w:lineRule="exact"/>
              <w:rPr>
                <w:sz w:val="19"/>
                <w:szCs w:val="19"/>
              </w:rPr>
            </w:pPr>
            <w:r w:rsidRPr="00DA6A9F">
              <w:rPr>
                <w:sz w:val="19"/>
                <w:szCs w:val="19"/>
              </w:rPr>
              <w:t>d. Green</w:t>
            </w:r>
          </w:p>
          <w:p w:rsidR="00941345" w:rsidRPr="00DA6A9F" w:rsidRDefault="00941345" w:rsidP="00941345">
            <w:pPr>
              <w:spacing w:line="260" w:lineRule="exact"/>
              <w:rPr>
                <w:sz w:val="19"/>
                <w:szCs w:val="19"/>
              </w:rPr>
            </w:pPr>
            <w:r w:rsidRPr="00DA6A9F">
              <w:rPr>
                <w:sz w:val="19"/>
                <w:szCs w:val="19"/>
              </w:rPr>
              <w:t>e. Green</w:t>
            </w:r>
          </w:p>
          <w:p w:rsidR="00941345" w:rsidRPr="00DA6A9F" w:rsidRDefault="00941345" w:rsidP="00941345">
            <w:pPr>
              <w:spacing w:line="260" w:lineRule="exact"/>
              <w:rPr>
                <w:sz w:val="19"/>
                <w:szCs w:val="19"/>
              </w:rPr>
            </w:pPr>
            <w:r w:rsidRPr="00DA6A9F">
              <w:rPr>
                <w:sz w:val="19"/>
                <w:szCs w:val="19"/>
              </w:rPr>
              <w:t>f. Green</w:t>
            </w:r>
          </w:p>
          <w:p w:rsidR="00941345" w:rsidRPr="00DA6A9F" w:rsidRDefault="00941345" w:rsidP="00941345">
            <w:pPr>
              <w:spacing w:line="260" w:lineRule="exact"/>
              <w:rPr>
                <w:sz w:val="19"/>
                <w:szCs w:val="19"/>
              </w:rPr>
            </w:pPr>
            <w:r w:rsidRPr="00DA6A9F">
              <w:rPr>
                <w:sz w:val="19"/>
                <w:szCs w:val="19"/>
              </w:rPr>
              <w:t>g. Green</w:t>
            </w:r>
          </w:p>
          <w:p w:rsidR="00D22A40" w:rsidRPr="00DA6A9F" w:rsidRDefault="00D22A40" w:rsidP="00941345">
            <w:pPr>
              <w:spacing w:line="260" w:lineRule="exact"/>
              <w:rPr>
                <w:sz w:val="19"/>
                <w:szCs w:val="19"/>
              </w:rPr>
            </w:pPr>
            <w:r w:rsidRPr="00DA6A9F">
              <w:rPr>
                <w:sz w:val="19"/>
                <w:szCs w:val="19"/>
              </w:rPr>
              <w:t>h. Green</w:t>
            </w:r>
          </w:p>
          <w:p w:rsidR="00D22A40" w:rsidRDefault="00D22A40" w:rsidP="00941345">
            <w:pPr>
              <w:spacing w:line="260" w:lineRule="exact"/>
            </w:pPr>
            <w:proofErr w:type="spellStart"/>
            <w:r w:rsidRPr="00DA6A9F">
              <w:rPr>
                <w:sz w:val="19"/>
                <w:szCs w:val="19"/>
              </w:rPr>
              <w:t>i</w:t>
            </w:r>
            <w:proofErr w:type="spellEnd"/>
            <w:r w:rsidRPr="00DA6A9F">
              <w:rPr>
                <w:sz w:val="19"/>
                <w:szCs w:val="19"/>
              </w:rPr>
              <w:t>. Green</w:t>
            </w:r>
          </w:p>
        </w:tc>
      </w:tr>
      <w:tr w:rsidR="00BA15A5" w:rsidTr="00DF6E34">
        <w:trPr>
          <w:trHeight w:val="276"/>
        </w:trPr>
        <w:tc>
          <w:tcPr>
            <w:tcW w:w="5000" w:type="pct"/>
            <w:gridSpan w:val="6"/>
            <w:vAlign w:val="center"/>
          </w:tcPr>
          <w:p w:rsidR="00941345" w:rsidRPr="00961649" w:rsidRDefault="00BA15A5" w:rsidP="00F27977">
            <w:pPr>
              <w:pStyle w:val="GoalLeads"/>
            </w:pPr>
            <w:r>
              <w:t xml:space="preserve">Organization/ Lead Person: c. </w:t>
            </w:r>
            <w:r w:rsidR="00961649" w:rsidRPr="00961649">
              <w:t xml:space="preserve">WIC, </w:t>
            </w:r>
            <w:proofErr w:type="spellStart"/>
            <w:r w:rsidR="00961649" w:rsidRPr="00961649">
              <w:t>Jameshyia</w:t>
            </w:r>
            <w:proofErr w:type="spellEnd"/>
            <w:r w:rsidR="00961649" w:rsidRPr="00961649">
              <w:t xml:space="preserve"> Thompson; d. Office of Preventive Health, </w:t>
            </w:r>
            <w:r w:rsidR="00F27977" w:rsidRPr="00961649">
              <w:t>Tiffan</w:t>
            </w:r>
            <w:r w:rsidR="00F27977">
              <w:t>i</w:t>
            </w:r>
            <w:r w:rsidR="00F27977" w:rsidRPr="00961649">
              <w:t xml:space="preserve"> </w:t>
            </w:r>
            <w:r w:rsidR="00961649" w:rsidRPr="00961649">
              <w:t xml:space="preserve">Grant; MSPHI, Lydia West; WIC, </w:t>
            </w:r>
            <w:proofErr w:type="spellStart"/>
            <w:r w:rsidR="00961649" w:rsidRPr="00961649">
              <w:t>Jameshyia</w:t>
            </w:r>
            <w:proofErr w:type="spellEnd"/>
            <w:r w:rsidR="00961649" w:rsidRPr="00961649">
              <w:t xml:space="preserve"> Thompson; </w:t>
            </w:r>
            <w:r w:rsidR="00BB2406">
              <w:br/>
            </w:r>
            <w:r w:rsidR="00961649" w:rsidRPr="00961649">
              <w:t xml:space="preserve">e. Office of Preventive Health, </w:t>
            </w:r>
            <w:r w:rsidR="00F27977" w:rsidRPr="00961649">
              <w:t>Tiffan</w:t>
            </w:r>
            <w:r w:rsidR="00F27977">
              <w:t>i</w:t>
            </w:r>
            <w:r w:rsidR="00F27977" w:rsidRPr="00961649">
              <w:t xml:space="preserve"> </w:t>
            </w:r>
            <w:r w:rsidR="00961649" w:rsidRPr="00961649">
              <w:t xml:space="preserve">Grant; MSPHI, Lydia West; WIC, </w:t>
            </w:r>
            <w:proofErr w:type="spellStart"/>
            <w:r w:rsidR="00961649" w:rsidRPr="00961649">
              <w:t>Jameshyia</w:t>
            </w:r>
            <w:proofErr w:type="spellEnd"/>
            <w:r w:rsidR="00961649" w:rsidRPr="00961649">
              <w:t xml:space="preserve"> Thompson; f. Office of Preventive Health, </w:t>
            </w:r>
            <w:r w:rsidR="00F27977" w:rsidRPr="00961649">
              <w:t>Tiffan</w:t>
            </w:r>
            <w:r w:rsidR="00F27977">
              <w:t>i</w:t>
            </w:r>
            <w:r w:rsidR="00F27977" w:rsidRPr="00961649">
              <w:t xml:space="preserve"> </w:t>
            </w:r>
            <w:r w:rsidR="00961649" w:rsidRPr="00961649">
              <w:t xml:space="preserve">Grant; MSPHI, Lydia West; WIC, </w:t>
            </w:r>
            <w:proofErr w:type="spellStart"/>
            <w:r w:rsidR="00961649" w:rsidRPr="00961649">
              <w:t>Jameshyia</w:t>
            </w:r>
            <w:proofErr w:type="spellEnd"/>
            <w:r w:rsidR="00961649" w:rsidRPr="00961649">
              <w:t xml:space="preserve"> Thompson; g. Office of Preventive Health, </w:t>
            </w:r>
            <w:r w:rsidR="00F27977" w:rsidRPr="00961649">
              <w:t>Tiffan</w:t>
            </w:r>
            <w:r w:rsidR="00F27977">
              <w:t>i</w:t>
            </w:r>
            <w:r w:rsidR="00F27977" w:rsidRPr="00961649">
              <w:t xml:space="preserve"> </w:t>
            </w:r>
            <w:r w:rsidR="00961649" w:rsidRPr="00961649">
              <w:t xml:space="preserve">Grant; MSPHI, Lydia West; WIC, </w:t>
            </w:r>
            <w:proofErr w:type="spellStart"/>
            <w:r w:rsidR="00961649" w:rsidRPr="00961649">
              <w:t>Jameshyia</w:t>
            </w:r>
            <w:proofErr w:type="spellEnd"/>
            <w:r w:rsidR="00961649" w:rsidRPr="00961649">
              <w:t xml:space="preserve"> Thompson; h. Office of Preventive Health, </w:t>
            </w:r>
            <w:r w:rsidR="00F27977" w:rsidRPr="00961649">
              <w:t>Tiffan</w:t>
            </w:r>
            <w:r w:rsidR="00F27977">
              <w:t>i</w:t>
            </w:r>
            <w:r w:rsidR="00F27977" w:rsidRPr="00961649">
              <w:t xml:space="preserve"> </w:t>
            </w:r>
            <w:r w:rsidR="00961649" w:rsidRPr="00961649">
              <w:t xml:space="preserve">Grant; MSPHI, Lydia West; WIC, </w:t>
            </w:r>
            <w:proofErr w:type="spellStart"/>
            <w:r w:rsidR="00961649" w:rsidRPr="00961649">
              <w:t>Jameshyia</w:t>
            </w:r>
            <w:proofErr w:type="spellEnd"/>
            <w:r w:rsidR="00961649" w:rsidRPr="00961649">
              <w:t xml:space="preserve"> Thompson; </w:t>
            </w:r>
            <w:proofErr w:type="spellStart"/>
            <w:r w:rsidR="00961649" w:rsidRPr="00961649">
              <w:t>i</w:t>
            </w:r>
            <w:proofErr w:type="spellEnd"/>
            <w:r w:rsidR="00961649" w:rsidRPr="00961649">
              <w:t xml:space="preserve">. Office of Preventive Health, </w:t>
            </w:r>
            <w:r w:rsidR="00F27977" w:rsidRPr="00961649">
              <w:t>Tiffan</w:t>
            </w:r>
            <w:r w:rsidR="00F27977">
              <w:t>i</w:t>
            </w:r>
            <w:r w:rsidR="00F27977" w:rsidRPr="00961649">
              <w:t xml:space="preserve"> </w:t>
            </w:r>
            <w:r w:rsidR="00961649" w:rsidRPr="00961649">
              <w:t xml:space="preserve">Grant; MSPHI, Lydia West; WIC, </w:t>
            </w:r>
            <w:proofErr w:type="spellStart"/>
            <w:r w:rsidR="00961649" w:rsidRPr="00961649">
              <w:t>Jameshyia</w:t>
            </w:r>
            <w:proofErr w:type="spellEnd"/>
            <w:r w:rsidR="003476AD">
              <w:t xml:space="preserve"> Thompson</w:t>
            </w:r>
          </w:p>
        </w:tc>
      </w:tr>
    </w:tbl>
    <w:p w:rsidR="006E47C2" w:rsidRPr="00494AF9" w:rsidRDefault="006E47C2" w:rsidP="007E769A">
      <w:pPr>
        <w:pStyle w:val="H3Green"/>
        <w:rPr>
          <w:sz w:val="23"/>
          <w:szCs w:val="23"/>
        </w:rPr>
      </w:pPr>
    </w:p>
    <w:p w:rsidR="00961649" w:rsidRPr="00494AF9" w:rsidRDefault="00961649" w:rsidP="00961649">
      <w:pPr>
        <w:pStyle w:val="H3Blue"/>
        <w:rPr>
          <w:szCs w:val="23"/>
        </w:rPr>
      </w:pPr>
      <w:r w:rsidRPr="00494AF9">
        <w:rPr>
          <w:szCs w:val="23"/>
        </w:rPr>
        <w:t>Status will be reviewed using a stoplight approach as follows:</w:t>
      </w:r>
    </w:p>
    <w:p w:rsidR="00961649" w:rsidRPr="00494AF9" w:rsidRDefault="00961649" w:rsidP="00961649">
      <w:pPr>
        <w:pStyle w:val="H3Blue"/>
        <w:rPr>
          <w:szCs w:val="23"/>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579"/>
        <w:gridCol w:w="4578"/>
        <w:gridCol w:w="4579"/>
      </w:tblGrid>
      <w:tr w:rsidR="00961649" w:rsidTr="00DF6E34">
        <w:trPr>
          <w:trHeight w:val="267"/>
        </w:trPr>
        <w:tc>
          <w:tcPr>
            <w:tcW w:w="4579" w:type="dxa"/>
            <w:shd w:val="clear" w:color="auto" w:fill="F58668"/>
            <w:vAlign w:val="center"/>
          </w:tcPr>
          <w:p w:rsidR="00961649" w:rsidRPr="00FE1C08" w:rsidRDefault="00961649" w:rsidP="00DF6E34">
            <w:pPr>
              <w:pStyle w:val="H3Blue"/>
              <w:rPr>
                <w:color w:val="000000" w:themeColor="text1"/>
                <w:sz w:val="20"/>
                <w:szCs w:val="20"/>
              </w:rPr>
            </w:pPr>
            <w:r w:rsidRPr="00FE1C08">
              <w:rPr>
                <w:color w:val="000000" w:themeColor="text1"/>
                <w:sz w:val="20"/>
                <w:szCs w:val="20"/>
              </w:rPr>
              <w:t>Red: Not On Target</w:t>
            </w:r>
          </w:p>
        </w:tc>
        <w:tc>
          <w:tcPr>
            <w:tcW w:w="4578" w:type="dxa"/>
            <w:shd w:val="clear" w:color="auto" w:fill="F9F289"/>
            <w:vAlign w:val="center"/>
          </w:tcPr>
          <w:p w:rsidR="00961649" w:rsidRPr="00FE1C08" w:rsidRDefault="00961649" w:rsidP="00E62744">
            <w:pPr>
              <w:pStyle w:val="H3Blue"/>
              <w:rPr>
                <w:color w:val="000000" w:themeColor="text1"/>
                <w:sz w:val="20"/>
                <w:szCs w:val="20"/>
              </w:rPr>
            </w:pPr>
            <w:r w:rsidRPr="00FE1C08">
              <w:rPr>
                <w:color w:val="000000" w:themeColor="text1"/>
                <w:sz w:val="20"/>
                <w:szCs w:val="20"/>
              </w:rPr>
              <w:t>Yellow: Falling Behind</w:t>
            </w:r>
          </w:p>
        </w:tc>
        <w:tc>
          <w:tcPr>
            <w:tcW w:w="4579" w:type="dxa"/>
            <w:shd w:val="clear" w:color="auto" w:fill="89CA8E"/>
            <w:vAlign w:val="center"/>
          </w:tcPr>
          <w:p w:rsidR="00961649" w:rsidRPr="00FE1C08" w:rsidRDefault="00961649" w:rsidP="00E62744">
            <w:pPr>
              <w:pStyle w:val="H3Blue"/>
              <w:rPr>
                <w:color w:val="000000" w:themeColor="text1"/>
                <w:sz w:val="20"/>
                <w:szCs w:val="20"/>
              </w:rPr>
            </w:pPr>
            <w:r w:rsidRPr="00FE1C08">
              <w:rPr>
                <w:color w:val="000000" w:themeColor="text1"/>
                <w:sz w:val="20"/>
                <w:szCs w:val="20"/>
              </w:rPr>
              <w:t>Green: On Target</w:t>
            </w:r>
          </w:p>
        </w:tc>
      </w:tr>
    </w:tbl>
    <w:p w:rsidR="00494AF9" w:rsidRPr="00FE1C08" w:rsidRDefault="00DF6E34" w:rsidP="00DF6E34">
      <w:pPr>
        <w:spacing w:after="40"/>
        <w:rPr>
          <w:sz w:val="19"/>
          <w:szCs w:val="19"/>
        </w:rPr>
      </w:pPr>
      <w:r w:rsidRPr="00DF6E34">
        <w:rPr>
          <w:b/>
          <w:bCs/>
          <w:color w:val="70AD47" w:themeColor="accent6"/>
          <w:sz w:val="10"/>
          <w:szCs w:val="10"/>
        </w:rPr>
        <w:br/>
      </w:r>
      <w:r w:rsidR="00494AF9" w:rsidRPr="00FE1C08">
        <w:rPr>
          <w:b/>
          <w:color w:val="000000" w:themeColor="text1"/>
          <w:sz w:val="19"/>
          <w:szCs w:val="19"/>
        </w:rPr>
        <w:t>COORDINATING CO-CHAIRS:</w:t>
      </w:r>
      <w:r w:rsidR="00494AF9" w:rsidRPr="00FE1C08">
        <w:rPr>
          <w:color w:val="000000" w:themeColor="text1"/>
          <w:sz w:val="19"/>
          <w:szCs w:val="19"/>
        </w:rPr>
        <w:t xml:space="preserve"> </w:t>
      </w:r>
      <w:r w:rsidR="00F27977">
        <w:rPr>
          <w:sz w:val="19"/>
          <w:szCs w:val="19"/>
        </w:rPr>
        <w:t>Monica Stinson</w:t>
      </w:r>
      <w:r w:rsidR="00494AF9" w:rsidRPr="00FE1C08">
        <w:rPr>
          <w:sz w:val="19"/>
          <w:szCs w:val="19"/>
        </w:rPr>
        <w:t xml:space="preserve">, MSDH; </w:t>
      </w:r>
      <w:r w:rsidR="00F27977">
        <w:rPr>
          <w:sz w:val="19"/>
          <w:szCs w:val="19"/>
        </w:rPr>
        <w:t>Lydia West</w:t>
      </w:r>
      <w:r w:rsidR="00494AF9" w:rsidRPr="00FE1C08">
        <w:rPr>
          <w:sz w:val="19"/>
          <w:szCs w:val="19"/>
        </w:rPr>
        <w:t xml:space="preserve">, </w:t>
      </w:r>
      <w:r w:rsidR="00F27977">
        <w:rPr>
          <w:sz w:val="19"/>
          <w:szCs w:val="19"/>
        </w:rPr>
        <w:t>Mississippi Public Health Institute</w:t>
      </w:r>
    </w:p>
    <w:p w:rsidR="00494AF9" w:rsidRPr="00FE1C08" w:rsidRDefault="00494AF9" w:rsidP="00882CE4">
      <w:pPr>
        <w:spacing w:after="40"/>
        <w:rPr>
          <w:b/>
          <w:sz w:val="19"/>
          <w:szCs w:val="19"/>
        </w:rPr>
      </w:pPr>
      <w:r w:rsidRPr="00FE1C08">
        <w:rPr>
          <w:b/>
          <w:sz w:val="19"/>
          <w:szCs w:val="19"/>
        </w:rPr>
        <w:t>PARTNERS AND STAKEHOLDERS:</w:t>
      </w:r>
    </w:p>
    <w:p w:rsidR="00494AF9" w:rsidRPr="00FE1C08" w:rsidRDefault="00494AF9" w:rsidP="00042654">
      <w:pPr>
        <w:spacing w:after="120" w:line="260" w:lineRule="exact"/>
        <w:rPr>
          <w:sz w:val="19"/>
          <w:szCs w:val="19"/>
        </w:rPr>
      </w:pPr>
      <w:r w:rsidRPr="00882CE4">
        <w:rPr>
          <w:b/>
          <w:i/>
          <w:sz w:val="19"/>
          <w:szCs w:val="19"/>
        </w:rPr>
        <w:t>Non-MSDH</w:t>
      </w:r>
      <w:proofErr w:type="gramStart"/>
      <w:r w:rsidRPr="00FE1C08">
        <w:rPr>
          <w:b/>
          <w:sz w:val="19"/>
          <w:szCs w:val="19"/>
        </w:rPr>
        <w:t>:</w:t>
      </w:r>
      <w:r w:rsidRPr="00FE1C08">
        <w:rPr>
          <w:sz w:val="19"/>
          <w:szCs w:val="19"/>
        </w:rPr>
        <w:t>;</w:t>
      </w:r>
      <w:proofErr w:type="gramEnd"/>
      <w:r w:rsidRPr="00FE1C08">
        <w:rPr>
          <w:sz w:val="19"/>
          <w:szCs w:val="19"/>
        </w:rPr>
        <w:t xml:space="preserve"> </w:t>
      </w:r>
      <w:proofErr w:type="spellStart"/>
      <w:r w:rsidR="00F27977">
        <w:rPr>
          <w:sz w:val="19"/>
          <w:szCs w:val="19"/>
        </w:rPr>
        <w:t>Wengora</w:t>
      </w:r>
      <w:proofErr w:type="spellEnd"/>
      <w:r w:rsidR="00F27977">
        <w:rPr>
          <w:sz w:val="19"/>
          <w:szCs w:val="19"/>
        </w:rPr>
        <w:t xml:space="preserve"> Thompson</w:t>
      </w:r>
      <w:r w:rsidR="007E35F4">
        <w:rPr>
          <w:sz w:val="19"/>
          <w:szCs w:val="19"/>
        </w:rPr>
        <w:t>, March of Dimes</w:t>
      </w:r>
      <w:r w:rsidRPr="00FE1C08">
        <w:rPr>
          <w:sz w:val="19"/>
          <w:szCs w:val="19"/>
        </w:rPr>
        <w:t xml:space="preserve">; Lydia West, MSPHI; Sarah Broom, BCBSMS; </w:t>
      </w:r>
      <w:r w:rsidR="00F27977">
        <w:rPr>
          <w:sz w:val="19"/>
          <w:szCs w:val="19"/>
        </w:rPr>
        <w:t xml:space="preserve">, Sandi Snell, </w:t>
      </w:r>
      <w:r w:rsidR="00D071D1">
        <w:rPr>
          <w:sz w:val="19"/>
          <w:szCs w:val="19"/>
        </w:rPr>
        <w:t xml:space="preserve">Right! From the Start; </w:t>
      </w:r>
      <w:r w:rsidR="00F27977">
        <w:rPr>
          <w:sz w:val="19"/>
          <w:szCs w:val="19"/>
        </w:rPr>
        <w:t xml:space="preserve">Cheryl Lloyd, </w:t>
      </w:r>
      <w:r w:rsidR="00D071D1">
        <w:rPr>
          <w:sz w:val="19"/>
          <w:szCs w:val="19"/>
        </w:rPr>
        <w:t xml:space="preserve">UMMC; </w:t>
      </w:r>
      <w:r w:rsidR="00F27977">
        <w:rPr>
          <w:sz w:val="19"/>
          <w:szCs w:val="19"/>
        </w:rPr>
        <w:t xml:space="preserve">Kim Robinson, </w:t>
      </w:r>
      <w:r w:rsidR="00D071D1">
        <w:rPr>
          <w:sz w:val="19"/>
          <w:szCs w:val="19"/>
        </w:rPr>
        <w:t xml:space="preserve">Children’s Defense Fund’ </w:t>
      </w:r>
      <w:proofErr w:type="spellStart"/>
      <w:r w:rsidR="00D071D1">
        <w:rPr>
          <w:sz w:val="19"/>
          <w:szCs w:val="19"/>
        </w:rPr>
        <w:t>Beneta</w:t>
      </w:r>
      <w:proofErr w:type="spellEnd"/>
      <w:r w:rsidR="00D071D1">
        <w:rPr>
          <w:sz w:val="19"/>
          <w:szCs w:val="19"/>
        </w:rPr>
        <w:t xml:space="preserve"> Burt, Roadmap to Health Equity; </w:t>
      </w:r>
    </w:p>
    <w:p w:rsidR="00961649" w:rsidRDefault="00494AF9" w:rsidP="00042654">
      <w:pPr>
        <w:spacing w:after="120" w:line="260" w:lineRule="exact"/>
        <w:rPr>
          <w:sz w:val="19"/>
          <w:szCs w:val="19"/>
        </w:rPr>
      </w:pPr>
      <w:r w:rsidRPr="00882CE4">
        <w:rPr>
          <w:b/>
          <w:i/>
          <w:sz w:val="19"/>
          <w:szCs w:val="19"/>
        </w:rPr>
        <w:lastRenderedPageBreak/>
        <w:t>MSDH</w:t>
      </w:r>
      <w:r w:rsidRPr="00FE1C08">
        <w:rPr>
          <w:b/>
          <w:sz w:val="19"/>
          <w:szCs w:val="19"/>
        </w:rPr>
        <w:t>:</w:t>
      </w:r>
      <w:r w:rsidR="0041639E">
        <w:rPr>
          <w:b/>
          <w:sz w:val="19"/>
          <w:szCs w:val="19"/>
        </w:rPr>
        <w:t xml:space="preserve"> </w:t>
      </w:r>
      <w:proofErr w:type="spellStart"/>
      <w:r w:rsidRPr="00FE1C08">
        <w:rPr>
          <w:sz w:val="19"/>
          <w:szCs w:val="19"/>
        </w:rPr>
        <w:t>Alfio</w:t>
      </w:r>
      <w:proofErr w:type="spellEnd"/>
      <w:r w:rsidRPr="00FE1C08">
        <w:rPr>
          <w:sz w:val="19"/>
          <w:szCs w:val="19"/>
        </w:rPr>
        <w:t xml:space="preserve"> </w:t>
      </w:r>
      <w:proofErr w:type="spellStart"/>
      <w:r w:rsidRPr="00FE1C08">
        <w:rPr>
          <w:sz w:val="19"/>
          <w:szCs w:val="19"/>
        </w:rPr>
        <w:t>Rausa</w:t>
      </w:r>
      <w:proofErr w:type="spellEnd"/>
      <w:r w:rsidR="00F27977">
        <w:rPr>
          <w:sz w:val="19"/>
          <w:szCs w:val="19"/>
        </w:rPr>
        <w:t>;</w:t>
      </w:r>
      <w:r w:rsidR="0041639E">
        <w:rPr>
          <w:sz w:val="19"/>
          <w:szCs w:val="19"/>
        </w:rPr>
        <w:t xml:space="preserve"> Danielle Seale</w:t>
      </w:r>
      <w:r w:rsidRPr="00FE1C08">
        <w:rPr>
          <w:sz w:val="19"/>
          <w:szCs w:val="19"/>
        </w:rPr>
        <w:t>; Kathy Farr</w:t>
      </w:r>
      <w:r w:rsidR="0041639E">
        <w:rPr>
          <w:sz w:val="19"/>
          <w:szCs w:val="19"/>
        </w:rPr>
        <w:t xml:space="preserve">ington, MSDH; Laura Tucker; Marilyn Johnson; </w:t>
      </w:r>
      <w:proofErr w:type="spellStart"/>
      <w:r w:rsidR="0041639E">
        <w:rPr>
          <w:sz w:val="19"/>
          <w:szCs w:val="19"/>
        </w:rPr>
        <w:t>Jameshyia</w:t>
      </w:r>
      <w:proofErr w:type="spellEnd"/>
      <w:r w:rsidR="0041639E">
        <w:rPr>
          <w:sz w:val="19"/>
          <w:szCs w:val="19"/>
        </w:rPr>
        <w:t xml:space="preserve"> Thompson</w:t>
      </w:r>
      <w:r w:rsidRPr="00FE1C08">
        <w:rPr>
          <w:sz w:val="19"/>
          <w:szCs w:val="19"/>
        </w:rPr>
        <w:t>;</w:t>
      </w:r>
      <w:r w:rsidR="0041639E">
        <w:rPr>
          <w:sz w:val="19"/>
          <w:szCs w:val="19"/>
        </w:rPr>
        <w:t xml:space="preserve"> </w:t>
      </w:r>
      <w:r w:rsidRPr="00FE1C08">
        <w:rPr>
          <w:sz w:val="19"/>
          <w:szCs w:val="19"/>
        </w:rPr>
        <w:t>Charlene Collier, MSDH/UMMC</w:t>
      </w:r>
      <w:r w:rsidR="0041639E">
        <w:rPr>
          <w:sz w:val="19"/>
          <w:szCs w:val="19"/>
        </w:rPr>
        <w:t>;</w:t>
      </w:r>
      <w:r w:rsidR="00D071D1">
        <w:rPr>
          <w:sz w:val="19"/>
          <w:szCs w:val="19"/>
        </w:rPr>
        <w:t xml:space="preserve"> Victor Sutton</w:t>
      </w:r>
    </w:p>
    <w:p w:rsidR="000C722B" w:rsidRDefault="000C722B"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Default="00CD5926" w:rsidP="00042654">
      <w:pPr>
        <w:spacing w:after="120" w:line="260" w:lineRule="exact"/>
        <w:rPr>
          <w:sz w:val="19"/>
          <w:szCs w:val="19"/>
        </w:rPr>
      </w:pPr>
    </w:p>
    <w:p w:rsidR="00CD5926" w:rsidRPr="00CD5926" w:rsidRDefault="00CD5926" w:rsidP="00CD5926">
      <w:pPr>
        <w:rPr>
          <w:rStyle w:val="Hyperlink"/>
          <w:color w:val="auto"/>
        </w:rPr>
      </w:pPr>
      <w:r>
        <w:rPr>
          <w:color w:val="FF0000"/>
          <w:vertAlign w:val="superscript"/>
        </w:rPr>
        <w:t>1</w:t>
      </w:r>
      <w:hyperlink r:id="rId9" w:history="1">
        <w:r w:rsidRPr="00CD5926">
          <w:rPr>
            <w:rStyle w:val="Hyperlink"/>
            <w:color w:val="auto"/>
          </w:rPr>
          <w:t>https://www.aap.org/en-us/about-the-aap/aap-press-room/pages/aap-reaffirms-breastfeeding-guidelines.aspx</w:t>
        </w:r>
      </w:hyperlink>
    </w:p>
    <w:p w:rsidR="00CD5926" w:rsidRPr="00CD5926" w:rsidRDefault="00CD5926" w:rsidP="00CD5926">
      <w:r>
        <w:rPr>
          <w:color w:val="FF0000"/>
          <w:vertAlign w:val="superscript"/>
        </w:rPr>
        <w:t>2</w:t>
      </w:r>
      <w:hyperlink r:id="rId10" w:history="1">
        <w:r w:rsidRPr="00CD5926">
          <w:rPr>
            <w:rStyle w:val="Hyperlink"/>
            <w:color w:val="auto"/>
          </w:rPr>
          <w:t>https://www.ncbi.nlm.nih.gov/pubmed/20368314</w:t>
        </w:r>
      </w:hyperlink>
    </w:p>
    <w:p w:rsidR="00CD5926" w:rsidRPr="00DF6E34" w:rsidRDefault="00CD5926" w:rsidP="00042654">
      <w:pPr>
        <w:spacing w:after="120" w:line="260" w:lineRule="exact"/>
        <w:rPr>
          <w:sz w:val="19"/>
          <w:szCs w:val="19"/>
        </w:rPr>
      </w:pPr>
      <w:bookmarkStart w:id="0" w:name="_GoBack"/>
      <w:bookmarkEnd w:id="0"/>
    </w:p>
    <w:sectPr w:rsidR="00CD5926" w:rsidRPr="00DF6E34" w:rsidSect="00A924C6">
      <w:footerReference w:type="default" r:id="rId11"/>
      <w:pgSz w:w="15840" w:h="12240" w:orient="landscape"/>
      <w:pgMar w:top="720" w:right="720" w:bottom="13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10" w:rsidRDefault="00574E10" w:rsidP="00A35886">
      <w:pPr>
        <w:spacing w:after="0" w:line="240" w:lineRule="auto"/>
      </w:pPr>
      <w:r>
        <w:separator/>
      </w:r>
    </w:p>
  </w:endnote>
  <w:endnote w:type="continuationSeparator" w:id="0">
    <w:p w:rsidR="00574E10" w:rsidRDefault="00574E10" w:rsidP="00A3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cho">
    <w:altName w:val="Courier New"/>
    <w:charset w:val="00"/>
    <w:family w:val="auto"/>
    <w:pitch w:val="variable"/>
    <w:sig w:usb0="00000001"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44" w:rsidRDefault="00E62744" w:rsidP="00A35886">
    <w:pPr>
      <w:pStyle w:val="FooterSlogan"/>
    </w:pPr>
    <w:r>
      <w:rPr>
        <w:noProof/>
      </w:rPr>
      <w:drawing>
        <wp:inline distT="0" distB="0" distL="0" distR="0" wp14:anchorId="56ED0F2E" wp14:editId="0C7393D7">
          <wp:extent cx="733425" cy="349523"/>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root_logo.jpg"/>
                  <pic:cNvPicPr/>
                </pic:nvPicPr>
                <pic:blipFill>
                  <a:blip r:embed="rId1">
                    <a:extLst>
                      <a:ext uri="{28A0092B-C50C-407E-A947-70E740481C1C}">
                        <a14:useLocalDpi xmlns:a14="http://schemas.microsoft.com/office/drawing/2010/main" val="0"/>
                      </a:ext>
                    </a:extLst>
                  </a:blip>
                  <a:stretch>
                    <a:fillRect/>
                  </a:stretch>
                </pic:blipFill>
                <pic:spPr>
                  <a:xfrm>
                    <a:off x="0" y="0"/>
                    <a:ext cx="774243" cy="368975"/>
                  </a:xfrm>
                  <a:prstGeom prst="rect">
                    <a:avLst/>
                  </a:prstGeom>
                </pic:spPr>
              </pic:pic>
            </a:graphicData>
          </a:graphic>
        </wp:inline>
      </w:drawing>
    </w:r>
    <w:r>
      <w:t xml:space="preserve">     </w:t>
    </w:r>
    <w:r w:rsidRPr="00A35886">
      <w:t>Building a healthier Mississippi from the ground UP.</w:t>
    </w:r>
    <w:r>
      <w:t xml:space="preserve">                                                                           </w:t>
    </w:r>
    <w:r w:rsidRPr="00A35886">
      <w:rPr>
        <w:color w:val="F47757"/>
      </w:rPr>
      <w:t>uprootms.org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10" w:rsidRDefault="00574E10" w:rsidP="00A35886">
      <w:pPr>
        <w:spacing w:after="0" w:line="240" w:lineRule="auto"/>
      </w:pPr>
      <w:r>
        <w:separator/>
      </w:r>
    </w:p>
  </w:footnote>
  <w:footnote w:type="continuationSeparator" w:id="0">
    <w:p w:rsidR="00574E10" w:rsidRDefault="00574E10" w:rsidP="00A35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4976"/>
    <w:multiLevelType w:val="hybridMultilevel"/>
    <w:tmpl w:val="14EE4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9300B"/>
    <w:multiLevelType w:val="hybridMultilevel"/>
    <w:tmpl w:val="0436E8C0"/>
    <w:lvl w:ilvl="0" w:tplc="B8BCB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DA"/>
    <w:rsid w:val="00030680"/>
    <w:rsid w:val="00042654"/>
    <w:rsid w:val="00042B28"/>
    <w:rsid w:val="00052DED"/>
    <w:rsid w:val="000A04AF"/>
    <w:rsid w:val="000C027B"/>
    <w:rsid w:val="000C2016"/>
    <w:rsid w:val="000C722B"/>
    <w:rsid w:val="000D1DDD"/>
    <w:rsid w:val="0011592D"/>
    <w:rsid w:val="001E3354"/>
    <w:rsid w:val="002556F2"/>
    <w:rsid w:val="0029720F"/>
    <w:rsid w:val="002B42F5"/>
    <w:rsid w:val="002E55BD"/>
    <w:rsid w:val="00304CD2"/>
    <w:rsid w:val="00315ACE"/>
    <w:rsid w:val="003476AD"/>
    <w:rsid w:val="00354D4D"/>
    <w:rsid w:val="003D4929"/>
    <w:rsid w:val="003E23FD"/>
    <w:rsid w:val="003E5A21"/>
    <w:rsid w:val="003F575B"/>
    <w:rsid w:val="0041639E"/>
    <w:rsid w:val="00440CD3"/>
    <w:rsid w:val="00494AF9"/>
    <w:rsid w:val="004A3EDA"/>
    <w:rsid w:val="004D05D9"/>
    <w:rsid w:val="004E7825"/>
    <w:rsid w:val="00542856"/>
    <w:rsid w:val="0055127B"/>
    <w:rsid w:val="00574E10"/>
    <w:rsid w:val="0059728A"/>
    <w:rsid w:val="005A7CE2"/>
    <w:rsid w:val="005B4500"/>
    <w:rsid w:val="006548C1"/>
    <w:rsid w:val="006727B3"/>
    <w:rsid w:val="00683193"/>
    <w:rsid w:val="00685E55"/>
    <w:rsid w:val="006B0156"/>
    <w:rsid w:val="006C1828"/>
    <w:rsid w:val="006C3690"/>
    <w:rsid w:val="006D6874"/>
    <w:rsid w:val="006D718F"/>
    <w:rsid w:val="006E47C2"/>
    <w:rsid w:val="006E5D5E"/>
    <w:rsid w:val="00700664"/>
    <w:rsid w:val="00753B55"/>
    <w:rsid w:val="00776CB2"/>
    <w:rsid w:val="007E35F4"/>
    <w:rsid w:val="007E769A"/>
    <w:rsid w:val="00816958"/>
    <w:rsid w:val="00822D3B"/>
    <w:rsid w:val="008754E4"/>
    <w:rsid w:val="00882CE4"/>
    <w:rsid w:val="008A155C"/>
    <w:rsid w:val="008B0609"/>
    <w:rsid w:val="008C3C4D"/>
    <w:rsid w:val="008D5C30"/>
    <w:rsid w:val="008D68DD"/>
    <w:rsid w:val="00941345"/>
    <w:rsid w:val="00961649"/>
    <w:rsid w:val="009A57B1"/>
    <w:rsid w:val="009D4A01"/>
    <w:rsid w:val="009F07E0"/>
    <w:rsid w:val="00A30B27"/>
    <w:rsid w:val="00A35886"/>
    <w:rsid w:val="00A6405E"/>
    <w:rsid w:val="00A924C6"/>
    <w:rsid w:val="00AF5F69"/>
    <w:rsid w:val="00B05709"/>
    <w:rsid w:val="00B43353"/>
    <w:rsid w:val="00B47616"/>
    <w:rsid w:val="00B7414E"/>
    <w:rsid w:val="00B75CEC"/>
    <w:rsid w:val="00B86533"/>
    <w:rsid w:val="00BA15A5"/>
    <w:rsid w:val="00BB2406"/>
    <w:rsid w:val="00BB251C"/>
    <w:rsid w:val="00BC2366"/>
    <w:rsid w:val="00C03C0F"/>
    <w:rsid w:val="00C46B41"/>
    <w:rsid w:val="00C90E57"/>
    <w:rsid w:val="00C978BB"/>
    <w:rsid w:val="00CB36FE"/>
    <w:rsid w:val="00CC08D6"/>
    <w:rsid w:val="00CD5926"/>
    <w:rsid w:val="00D071D1"/>
    <w:rsid w:val="00D22A40"/>
    <w:rsid w:val="00D2490C"/>
    <w:rsid w:val="00D25AD4"/>
    <w:rsid w:val="00D33B62"/>
    <w:rsid w:val="00D353C0"/>
    <w:rsid w:val="00D60B29"/>
    <w:rsid w:val="00DA6A9F"/>
    <w:rsid w:val="00DC1E07"/>
    <w:rsid w:val="00DD432B"/>
    <w:rsid w:val="00DF6E34"/>
    <w:rsid w:val="00E07A5C"/>
    <w:rsid w:val="00E27696"/>
    <w:rsid w:val="00E311B2"/>
    <w:rsid w:val="00E43CDD"/>
    <w:rsid w:val="00E62744"/>
    <w:rsid w:val="00EA3C78"/>
    <w:rsid w:val="00F27977"/>
    <w:rsid w:val="00F640B1"/>
    <w:rsid w:val="00FE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D68DD"/>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BA15A5"/>
    <w:pPr>
      <w:tabs>
        <w:tab w:val="left" w:pos="3020"/>
      </w:tabs>
      <w:spacing w:after="120" w:line="260" w:lineRule="exact"/>
      <w:ind w:left="0"/>
      <w:contextualSpacing w:val="0"/>
    </w:pPr>
    <w:rPr>
      <w:spacing w:val="-4"/>
      <w:kern w:val="19"/>
      <w:sz w:val="19"/>
      <w:szCs w:val="19"/>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9D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A01"/>
    <w:rPr>
      <w:rFonts w:ascii="Tahoma" w:hAnsi="Tahoma" w:cs="Tahoma"/>
      <w:sz w:val="16"/>
      <w:szCs w:val="16"/>
    </w:rPr>
  </w:style>
  <w:style w:type="character" w:styleId="CommentReference">
    <w:name w:val="annotation reference"/>
    <w:basedOn w:val="DefaultParagraphFont"/>
    <w:uiPriority w:val="99"/>
    <w:semiHidden/>
    <w:unhideWhenUsed/>
    <w:rsid w:val="003E5A21"/>
    <w:rPr>
      <w:sz w:val="16"/>
      <w:szCs w:val="16"/>
    </w:rPr>
  </w:style>
  <w:style w:type="paragraph" w:styleId="CommentText">
    <w:name w:val="annotation text"/>
    <w:basedOn w:val="Normal"/>
    <w:link w:val="CommentTextChar"/>
    <w:uiPriority w:val="99"/>
    <w:semiHidden/>
    <w:unhideWhenUsed/>
    <w:rsid w:val="003E5A21"/>
    <w:pPr>
      <w:spacing w:line="240" w:lineRule="auto"/>
    </w:pPr>
    <w:rPr>
      <w:szCs w:val="20"/>
    </w:rPr>
  </w:style>
  <w:style w:type="character" w:customStyle="1" w:styleId="CommentTextChar">
    <w:name w:val="Comment Text Char"/>
    <w:basedOn w:val="DefaultParagraphFont"/>
    <w:link w:val="CommentText"/>
    <w:uiPriority w:val="99"/>
    <w:semiHidden/>
    <w:rsid w:val="003E5A2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E5A21"/>
    <w:rPr>
      <w:b/>
      <w:bCs/>
    </w:rPr>
  </w:style>
  <w:style w:type="character" w:customStyle="1" w:styleId="CommentSubjectChar">
    <w:name w:val="Comment Subject Char"/>
    <w:basedOn w:val="CommentTextChar"/>
    <w:link w:val="CommentSubject"/>
    <w:uiPriority w:val="99"/>
    <w:semiHidden/>
    <w:rsid w:val="003E5A21"/>
    <w:rPr>
      <w:rFonts w:ascii="Verdana" w:hAnsi="Verdana"/>
      <w:b/>
      <w:bCs/>
      <w:sz w:val="20"/>
      <w:szCs w:val="20"/>
    </w:rPr>
  </w:style>
  <w:style w:type="character" w:styleId="Hyperlink">
    <w:name w:val="Hyperlink"/>
    <w:basedOn w:val="DefaultParagraphFont"/>
    <w:uiPriority w:val="99"/>
    <w:unhideWhenUsed/>
    <w:rsid w:val="00E62744"/>
    <w:rPr>
      <w:color w:val="0563C1" w:themeColor="hyperlink"/>
      <w:u w:val="single"/>
    </w:rPr>
  </w:style>
  <w:style w:type="paragraph" w:styleId="FootnoteText">
    <w:name w:val="footnote text"/>
    <w:basedOn w:val="Normal"/>
    <w:link w:val="FootnoteTextChar"/>
    <w:uiPriority w:val="99"/>
    <w:semiHidden/>
    <w:unhideWhenUsed/>
    <w:rsid w:val="000C722B"/>
    <w:pPr>
      <w:spacing w:after="0" w:line="240" w:lineRule="auto"/>
    </w:pPr>
    <w:rPr>
      <w:szCs w:val="20"/>
    </w:rPr>
  </w:style>
  <w:style w:type="character" w:customStyle="1" w:styleId="FootnoteTextChar">
    <w:name w:val="Footnote Text Char"/>
    <w:basedOn w:val="DefaultParagraphFont"/>
    <w:link w:val="FootnoteText"/>
    <w:uiPriority w:val="99"/>
    <w:semiHidden/>
    <w:rsid w:val="000C722B"/>
    <w:rPr>
      <w:rFonts w:ascii="Verdana" w:hAnsi="Verdana"/>
      <w:sz w:val="20"/>
      <w:szCs w:val="20"/>
    </w:rPr>
  </w:style>
  <w:style w:type="character" w:styleId="FootnoteReference">
    <w:name w:val="footnote reference"/>
    <w:basedOn w:val="DefaultParagraphFont"/>
    <w:uiPriority w:val="99"/>
    <w:semiHidden/>
    <w:unhideWhenUsed/>
    <w:rsid w:val="000C72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D68DD"/>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BA15A5"/>
    <w:pPr>
      <w:tabs>
        <w:tab w:val="left" w:pos="3020"/>
      </w:tabs>
      <w:spacing w:after="120" w:line="260" w:lineRule="exact"/>
      <w:ind w:left="0"/>
      <w:contextualSpacing w:val="0"/>
    </w:pPr>
    <w:rPr>
      <w:spacing w:val="-4"/>
      <w:kern w:val="19"/>
      <w:sz w:val="19"/>
      <w:szCs w:val="19"/>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9D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A01"/>
    <w:rPr>
      <w:rFonts w:ascii="Tahoma" w:hAnsi="Tahoma" w:cs="Tahoma"/>
      <w:sz w:val="16"/>
      <w:szCs w:val="16"/>
    </w:rPr>
  </w:style>
  <w:style w:type="character" w:styleId="CommentReference">
    <w:name w:val="annotation reference"/>
    <w:basedOn w:val="DefaultParagraphFont"/>
    <w:uiPriority w:val="99"/>
    <w:semiHidden/>
    <w:unhideWhenUsed/>
    <w:rsid w:val="003E5A21"/>
    <w:rPr>
      <w:sz w:val="16"/>
      <w:szCs w:val="16"/>
    </w:rPr>
  </w:style>
  <w:style w:type="paragraph" w:styleId="CommentText">
    <w:name w:val="annotation text"/>
    <w:basedOn w:val="Normal"/>
    <w:link w:val="CommentTextChar"/>
    <w:uiPriority w:val="99"/>
    <w:semiHidden/>
    <w:unhideWhenUsed/>
    <w:rsid w:val="003E5A21"/>
    <w:pPr>
      <w:spacing w:line="240" w:lineRule="auto"/>
    </w:pPr>
    <w:rPr>
      <w:szCs w:val="20"/>
    </w:rPr>
  </w:style>
  <w:style w:type="character" w:customStyle="1" w:styleId="CommentTextChar">
    <w:name w:val="Comment Text Char"/>
    <w:basedOn w:val="DefaultParagraphFont"/>
    <w:link w:val="CommentText"/>
    <w:uiPriority w:val="99"/>
    <w:semiHidden/>
    <w:rsid w:val="003E5A2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E5A21"/>
    <w:rPr>
      <w:b/>
      <w:bCs/>
    </w:rPr>
  </w:style>
  <w:style w:type="character" w:customStyle="1" w:styleId="CommentSubjectChar">
    <w:name w:val="Comment Subject Char"/>
    <w:basedOn w:val="CommentTextChar"/>
    <w:link w:val="CommentSubject"/>
    <w:uiPriority w:val="99"/>
    <w:semiHidden/>
    <w:rsid w:val="003E5A21"/>
    <w:rPr>
      <w:rFonts w:ascii="Verdana" w:hAnsi="Verdana"/>
      <w:b/>
      <w:bCs/>
      <w:sz w:val="20"/>
      <w:szCs w:val="20"/>
    </w:rPr>
  </w:style>
  <w:style w:type="character" w:styleId="Hyperlink">
    <w:name w:val="Hyperlink"/>
    <w:basedOn w:val="DefaultParagraphFont"/>
    <w:uiPriority w:val="99"/>
    <w:unhideWhenUsed/>
    <w:rsid w:val="00E62744"/>
    <w:rPr>
      <w:color w:val="0563C1" w:themeColor="hyperlink"/>
      <w:u w:val="single"/>
    </w:rPr>
  </w:style>
  <w:style w:type="paragraph" w:styleId="FootnoteText">
    <w:name w:val="footnote text"/>
    <w:basedOn w:val="Normal"/>
    <w:link w:val="FootnoteTextChar"/>
    <w:uiPriority w:val="99"/>
    <w:semiHidden/>
    <w:unhideWhenUsed/>
    <w:rsid w:val="000C722B"/>
    <w:pPr>
      <w:spacing w:after="0" w:line="240" w:lineRule="auto"/>
    </w:pPr>
    <w:rPr>
      <w:szCs w:val="20"/>
    </w:rPr>
  </w:style>
  <w:style w:type="character" w:customStyle="1" w:styleId="FootnoteTextChar">
    <w:name w:val="Footnote Text Char"/>
    <w:basedOn w:val="DefaultParagraphFont"/>
    <w:link w:val="FootnoteText"/>
    <w:uiPriority w:val="99"/>
    <w:semiHidden/>
    <w:rsid w:val="000C722B"/>
    <w:rPr>
      <w:rFonts w:ascii="Verdana" w:hAnsi="Verdana"/>
      <w:sz w:val="20"/>
      <w:szCs w:val="20"/>
    </w:rPr>
  </w:style>
  <w:style w:type="character" w:styleId="FootnoteReference">
    <w:name w:val="footnote reference"/>
    <w:basedOn w:val="DefaultParagraphFont"/>
    <w:uiPriority w:val="99"/>
    <w:semiHidden/>
    <w:unhideWhenUsed/>
    <w:rsid w:val="000C7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52">
      <w:bodyDiv w:val="1"/>
      <w:marLeft w:val="0"/>
      <w:marRight w:val="0"/>
      <w:marTop w:val="0"/>
      <w:marBottom w:val="0"/>
      <w:divBdr>
        <w:top w:val="none" w:sz="0" w:space="0" w:color="auto"/>
        <w:left w:val="none" w:sz="0" w:space="0" w:color="auto"/>
        <w:bottom w:val="none" w:sz="0" w:space="0" w:color="auto"/>
        <w:right w:val="none" w:sz="0" w:space="0" w:color="auto"/>
      </w:divBdr>
    </w:div>
    <w:div w:id="62528207">
      <w:bodyDiv w:val="1"/>
      <w:marLeft w:val="0"/>
      <w:marRight w:val="0"/>
      <w:marTop w:val="0"/>
      <w:marBottom w:val="0"/>
      <w:divBdr>
        <w:top w:val="none" w:sz="0" w:space="0" w:color="auto"/>
        <w:left w:val="none" w:sz="0" w:space="0" w:color="auto"/>
        <w:bottom w:val="none" w:sz="0" w:space="0" w:color="auto"/>
        <w:right w:val="none" w:sz="0" w:space="0" w:color="auto"/>
      </w:divBdr>
    </w:div>
    <w:div w:id="284044785">
      <w:bodyDiv w:val="1"/>
      <w:marLeft w:val="0"/>
      <w:marRight w:val="0"/>
      <w:marTop w:val="0"/>
      <w:marBottom w:val="0"/>
      <w:divBdr>
        <w:top w:val="none" w:sz="0" w:space="0" w:color="auto"/>
        <w:left w:val="none" w:sz="0" w:space="0" w:color="auto"/>
        <w:bottom w:val="none" w:sz="0" w:space="0" w:color="auto"/>
        <w:right w:val="none" w:sz="0" w:space="0" w:color="auto"/>
      </w:divBdr>
    </w:div>
    <w:div w:id="301353760">
      <w:bodyDiv w:val="1"/>
      <w:marLeft w:val="0"/>
      <w:marRight w:val="0"/>
      <w:marTop w:val="0"/>
      <w:marBottom w:val="0"/>
      <w:divBdr>
        <w:top w:val="none" w:sz="0" w:space="0" w:color="auto"/>
        <w:left w:val="none" w:sz="0" w:space="0" w:color="auto"/>
        <w:bottom w:val="none" w:sz="0" w:space="0" w:color="auto"/>
        <w:right w:val="none" w:sz="0" w:space="0" w:color="auto"/>
      </w:divBdr>
    </w:div>
    <w:div w:id="517740242">
      <w:bodyDiv w:val="1"/>
      <w:marLeft w:val="0"/>
      <w:marRight w:val="0"/>
      <w:marTop w:val="0"/>
      <w:marBottom w:val="0"/>
      <w:divBdr>
        <w:top w:val="none" w:sz="0" w:space="0" w:color="auto"/>
        <w:left w:val="none" w:sz="0" w:space="0" w:color="auto"/>
        <w:bottom w:val="none" w:sz="0" w:space="0" w:color="auto"/>
        <w:right w:val="none" w:sz="0" w:space="0" w:color="auto"/>
      </w:divBdr>
    </w:div>
    <w:div w:id="578179102">
      <w:bodyDiv w:val="1"/>
      <w:marLeft w:val="0"/>
      <w:marRight w:val="0"/>
      <w:marTop w:val="0"/>
      <w:marBottom w:val="0"/>
      <w:divBdr>
        <w:top w:val="none" w:sz="0" w:space="0" w:color="auto"/>
        <w:left w:val="none" w:sz="0" w:space="0" w:color="auto"/>
        <w:bottom w:val="none" w:sz="0" w:space="0" w:color="auto"/>
        <w:right w:val="none" w:sz="0" w:space="0" w:color="auto"/>
      </w:divBdr>
    </w:div>
    <w:div w:id="674265045">
      <w:bodyDiv w:val="1"/>
      <w:marLeft w:val="0"/>
      <w:marRight w:val="0"/>
      <w:marTop w:val="0"/>
      <w:marBottom w:val="0"/>
      <w:divBdr>
        <w:top w:val="none" w:sz="0" w:space="0" w:color="auto"/>
        <w:left w:val="none" w:sz="0" w:space="0" w:color="auto"/>
        <w:bottom w:val="none" w:sz="0" w:space="0" w:color="auto"/>
        <w:right w:val="none" w:sz="0" w:space="0" w:color="auto"/>
      </w:divBdr>
    </w:div>
    <w:div w:id="786856967">
      <w:bodyDiv w:val="1"/>
      <w:marLeft w:val="0"/>
      <w:marRight w:val="0"/>
      <w:marTop w:val="0"/>
      <w:marBottom w:val="0"/>
      <w:divBdr>
        <w:top w:val="none" w:sz="0" w:space="0" w:color="auto"/>
        <w:left w:val="none" w:sz="0" w:space="0" w:color="auto"/>
        <w:bottom w:val="none" w:sz="0" w:space="0" w:color="auto"/>
        <w:right w:val="none" w:sz="0" w:space="0" w:color="auto"/>
      </w:divBdr>
    </w:div>
    <w:div w:id="811365192">
      <w:bodyDiv w:val="1"/>
      <w:marLeft w:val="0"/>
      <w:marRight w:val="0"/>
      <w:marTop w:val="0"/>
      <w:marBottom w:val="0"/>
      <w:divBdr>
        <w:top w:val="none" w:sz="0" w:space="0" w:color="auto"/>
        <w:left w:val="none" w:sz="0" w:space="0" w:color="auto"/>
        <w:bottom w:val="none" w:sz="0" w:space="0" w:color="auto"/>
        <w:right w:val="none" w:sz="0" w:space="0" w:color="auto"/>
      </w:divBdr>
    </w:div>
    <w:div w:id="828785188">
      <w:bodyDiv w:val="1"/>
      <w:marLeft w:val="0"/>
      <w:marRight w:val="0"/>
      <w:marTop w:val="0"/>
      <w:marBottom w:val="0"/>
      <w:divBdr>
        <w:top w:val="none" w:sz="0" w:space="0" w:color="auto"/>
        <w:left w:val="none" w:sz="0" w:space="0" w:color="auto"/>
        <w:bottom w:val="none" w:sz="0" w:space="0" w:color="auto"/>
        <w:right w:val="none" w:sz="0" w:space="0" w:color="auto"/>
      </w:divBdr>
    </w:div>
    <w:div w:id="1608195048">
      <w:bodyDiv w:val="1"/>
      <w:marLeft w:val="0"/>
      <w:marRight w:val="0"/>
      <w:marTop w:val="0"/>
      <w:marBottom w:val="0"/>
      <w:divBdr>
        <w:top w:val="none" w:sz="0" w:space="0" w:color="auto"/>
        <w:left w:val="none" w:sz="0" w:space="0" w:color="auto"/>
        <w:bottom w:val="none" w:sz="0" w:space="0" w:color="auto"/>
        <w:right w:val="none" w:sz="0" w:space="0" w:color="auto"/>
      </w:divBdr>
    </w:div>
    <w:div w:id="1645894405">
      <w:bodyDiv w:val="1"/>
      <w:marLeft w:val="0"/>
      <w:marRight w:val="0"/>
      <w:marTop w:val="0"/>
      <w:marBottom w:val="0"/>
      <w:divBdr>
        <w:top w:val="none" w:sz="0" w:space="0" w:color="auto"/>
        <w:left w:val="none" w:sz="0" w:space="0" w:color="auto"/>
        <w:bottom w:val="none" w:sz="0" w:space="0" w:color="auto"/>
        <w:right w:val="none" w:sz="0" w:space="0" w:color="auto"/>
      </w:divBdr>
    </w:div>
    <w:div w:id="1666782725">
      <w:bodyDiv w:val="1"/>
      <w:marLeft w:val="0"/>
      <w:marRight w:val="0"/>
      <w:marTop w:val="0"/>
      <w:marBottom w:val="0"/>
      <w:divBdr>
        <w:top w:val="none" w:sz="0" w:space="0" w:color="auto"/>
        <w:left w:val="none" w:sz="0" w:space="0" w:color="auto"/>
        <w:bottom w:val="none" w:sz="0" w:space="0" w:color="auto"/>
        <w:right w:val="none" w:sz="0" w:space="0" w:color="auto"/>
      </w:divBdr>
    </w:div>
    <w:div w:id="1668316602">
      <w:bodyDiv w:val="1"/>
      <w:marLeft w:val="0"/>
      <w:marRight w:val="0"/>
      <w:marTop w:val="0"/>
      <w:marBottom w:val="0"/>
      <w:divBdr>
        <w:top w:val="none" w:sz="0" w:space="0" w:color="auto"/>
        <w:left w:val="none" w:sz="0" w:space="0" w:color="auto"/>
        <w:bottom w:val="none" w:sz="0" w:space="0" w:color="auto"/>
        <w:right w:val="none" w:sz="0" w:space="0" w:color="auto"/>
      </w:divBdr>
    </w:div>
    <w:div w:id="1733766823">
      <w:bodyDiv w:val="1"/>
      <w:marLeft w:val="0"/>
      <w:marRight w:val="0"/>
      <w:marTop w:val="0"/>
      <w:marBottom w:val="0"/>
      <w:divBdr>
        <w:top w:val="none" w:sz="0" w:space="0" w:color="auto"/>
        <w:left w:val="none" w:sz="0" w:space="0" w:color="auto"/>
        <w:bottom w:val="none" w:sz="0" w:space="0" w:color="auto"/>
        <w:right w:val="none" w:sz="0" w:space="0" w:color="auto"/>
      </w:divBdr>
    </w:div>
    <w:div w:id="1793476119">
      <w:bodyDiv w:val="1"/>
      <w:marLeft w:val="0"/>
      <w:marRight w:val="0"/>
      <w:marTop w:val="0"/>
      <w:marBottom w:val="0"/>
      <w:divBdr>
        <w:top w:val="none" w:sz="0" w:space="0" w:color="auto"/>
        <w:left w:val="none" w:sz="0" w:space="0" w:color="auto"/>
        <w:bottom w:val="none" w:sz="0" w:space="0" w:color="auto"/>
        <w:right w:val="none" w:sz="0" w:space="0" w:color="auto"/>
      </w:divBdr>
    </w:div>
    <w:div w:id="2049448127">
      <w:bodyDiv w:val="1"/>
      <w:marLeft w:val="0"/>
      <w:marRight w:val="0"/>
      <w:marTop w:val="0"/>
      <w:marBottom w:val="0"/>
      <w:divBdr>
        <w:top w:val="none" w:sz="0" w:space="0" w:color="auto"/>
        <w:left w:val="none" w:sz="0" w:space="0" w:color="auto"/>
        <w:bottom w:val="none" w:sz="0" w:space="0" w:color="auto"/>
        <w:right w:val="none" w:sz="0" w:space="0" w:color="auto"/>
      </w:divBdr>
    </w:div>
    <w:div w:id="2050640653">
      <w:bodyDiv w:val="1"/>
      <w:marLeft w:val="0"/>
      <w:marRight w:val="0"/>
      <w:marTop w:val="0"/>
      <w:marBottom w:val="0"/>
      <w:divBdr>
        <w:top w:val="none" w:sz="0" w:space="0" w:color="auto"/>
        <w:left w:val="none" w:sz="0" w:space="0" w:color="auto"/>
        <w:bottom w:val="none" w:sz="0" w:space="0" w:color="auto"/>
        <w:right w:val="none" w:sz="0" w:space="0" w:color="auto"/>
      </w:divBdr>
    </w:div>
    <w:div w:id="2105421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cbi.nlm.nih.gov/pubmed/20368314" TargetMode="External"/><Relationship Id="rId4" Type="http://schemas.microsoft.com/office/2007/relationships/stylesWithEffects" Target="stylesWithEffects.xml"/><Relationship Id="rId9" Type="http://schemas.openxmlformats.org/officeDocument/2006/relationships/hyperlink" Target="https://www.aap.org/en-us/about-the-aap/aap-press-room/pages/aap-reaffirms-breastfeeding-guideline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6CDA-AF98-4F4C-95B9-E344466E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Mississippi State Department of Health</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Schwindaman</dc:creator>
  <cp:lastModifiedBy>Richardson, Katherine</cp:lastModifiedBy>
  <cp:revision>2</cp:revision>
  <dcterms:created xsi:type="dcterms:W3CDTF">2017-10-03T16:43:00Z</dcterms:created>
  <dcterms:modified xsi:type="dcterms:W3CDTF">2017-10-03T16:43:00Z</dcterms:modified>
</cp:coreProperties>
</file>